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31E5E" w:rsidRDefault="00831E5E">
      <w:pPr>
        <w:pStyle w:val="BodyText"/>
        <w:rPr>
          <w:rFonts w:ascii="Times New Roman"/>
          <w:sz w:val="24"/>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831E5E">
        <w:trPr>
          <w:trHeight w:val="580"/>
        </w:trPr>
        <w:tc>
          <w:tcPr>
            <w:tcW w:w="2448" w:type="dxa"/>
            <w:tcBorders>
              <w:bottom w:val="nil"/>
            </w:tcBorders>
          </w:tcPr>
          <w:p w:rsidR="00831E5E" w:rsidRDefault="00831E5E">
            <w:pPr>
              <w:pStyle w:val="TableParagraph"/>
              <w:spacing w:before="6"/>
              <w:ind w:left="0"/>
              <w:rPr>
                <w:rFonts w:ascii="Times New Roman"/>
                <w:sz w:val="27"/>
              </w:rPr>
            </w:pPr>
          </w:p>
          <w:p w:rsidR="00831E5E" w:rsidRDefault="008A440C">
            <w:pPr>
              <w:pStyle w:val="TableParagraph"/>
            </w:pPr>
            <w:r>
              <w:rPr>
                <w:u w:val="single"/>
              </w:rPr>
              <w:t>Issued:</w:t>
            </w:r>
          </w:p>
        </w:tc>
        <w:tc>
          <w:tcPr>
            <w:tcW w:w="5239" w:type="dxa"/>
            <w:tcBorders>
              <w:bottom w:val="nil"/>
            </w:tcBorders>
          </w:tcPr>
          <w:p w:rsidR="00831E5E" w:rsidRDefault="00831E5E">
            <w:pPr>
              <w:pStyle w:val="TableParagraph"/>
              <w:spacing w:before="3"/>
              <w:ind w:left="0"/>
              <w:rPr>
                <w:rFonts w:ascii="Times New Roman"/>
                <w:sz w:val="27"/>
              </w:rPr>
            </w:pPr>
          </w:p>
          <w:p w:rsidR="00831E5E" w:rsidRDefault="008A440C">
            <w:pPr>
              <w:pStyle w:val="TableParagraph"/>
              <w:ind w:left="552" w:right="542"/>
              <w:jc w:val="center"/>
              <w:rPr>
                <w:b/>
              </w:rPr>
            </w:pPr>
            <w:r>
              <w:rPr>
                <w:b/>
              </w:rPr>
              <w:t>ENGINEERING DIVISION</w:t>
            </w:r>
          </w:p>
        </w:tc>
        <w:tc>
          <w:tcPr>
            <w:tcW w:w="2141" w:type="dxa"/>
            <w:tcBorders>
              <w:bottom w:val="nil"/>
            </w:tcBorders>
          </w:tcPr>
          <w:p w:rsidR="00831E5E" w:rsidRDefault="00831E5E">
            <w:pPr>
              <w:pStyle w:val="TableParagraph"/>
              <w:spacing w:before="6"/>
              <w:ind w:left="0"/>
              <w:rPr>
                <w:rFonts w:ascii="Times New Roman"/>
                <w:sz w:val="27"/>
              </w:rPr>
            </w:pPr>
          </w:p>
          <w:p w:rsidR="00831E5E" w:rsidRDefault="008A440C">
            <w:pPr>
              <w:pStyle w:val="TableParagraph"/>
            </w:pPr>
            <w:r>
              <w:rPr>
                <w:u w:val="single"/>
              </w:rPr>
              <w:t>Index Nº:</w:t>
            </w:r>
          </w:p>
        </w:tc>
      </w:tr>
      <w:tr w:rsidR="00831E5E">
        <w:trPr>
          <w:trHeight w:val="440"/>
        </w:trPr>
        <w:tc>
          <w:tcPr>
            <w:tcW w:w="2448" w:type="dxa"/>
            <w:tcBorders>
              <w:top w:val="nil"/>
              <w:bottom w:val="nil"/>
            </w:tcBorders>
          </w:tcPr>
          <w:p w:rsidR="00831E5E" w:rsidRDefault="00AF2B2F">
            <w:pPr>
              <w:pStyle w:val="TableParagraph"/>
              <w:spacing w:before="16"/>
            </w:pPr>
            <w:r>
              <w:t>March 2018</w:t>
            </w:r>
          </w:p>
        </w:tc>
        <w:tc>
          <w:tcPr>
            <w:tcW w:w="5239" w:type="dxa"/>
            <w:tcBorders>
              <w:top w:val="nil"/>
              <w:bottom w:val="nil"/>
            </w:tcBorders>
          </w:tcPr>
          <w:p w:rsidR="00831E5E" w:rsidRDefault="008A440C">
            <w:pPr>
              <w:pStyle w:val="TableParagraph"/>
              <w:spacing w:before="14"/>
              <w:ind w:left="552" w:right="542"/>
              <w:jc w:val="center"/>
              <w:rPr>
                <w:b/>
              </w:rPr>
            </w:pPr>
            <w:r>
              <w:rPr>
                <w:b/>
              </w:rPr>
              <w:t>POLICIES &amp; PROCEDURES</w:t>
            </w:r>
          </w:p>
        </w:tc>
        <w:tc>
          <w:tcPr>
            <w:tcW w:w="2141" w:type="dxa"/>
            <w:tcBorders>
              <w:top w:val="nil"/>
              <w:bottom w:val="nil"/>
            </w:tcBorders>
          </w:tcPr>
          <w:p w:rsidR="00831E5E" w:rsidRDefault="008A440C">
            <w:pPr>
              <w:pStyle w:val="TableParagraph"/>
              <w:spacing w:before="16"/>
            </w:pPr>
            <w:r>
              <w:t>GCF006</w:t>
            </w:r>
          </w:p>
        </w:tc>
      </w:tr>
      <w:tr w:rsidR="00831E5E">
        <w:trPr>
          <w:trHeight w:val="440"/>
        </w:trPr>
        <w:tc>
          <w:tcPr>
            <w:tcW w:w="2448" w:type="dxa"/>
            <w:tcBorders>
              <w:top w:val="nil"/>
              <w:bottom w:val="nil"/>
            </w:tcBorders>
          </w:tcPr>
          <w:p w:rsidR="00831E5E" w:rsidRDefault="008A440C">
            <w:pPr>
              <w:pStyle w:val="TableParagraph"/>
              <w:spacing w:before="173"/>
            </w:pPr>
            <w:r>
              <w:rPr>
                <w:u w:val="single"/>
              </w:rPr>
              <w:t>Revised:</w:t>
            </w:r>
          </w:p>
        </w:tc>
        <w:tc>
          <w:tcPr>
            <w:tcW w:w="5239" w:type="dxa"/>
            <w:tcBorders>
              <w:top w:val="nil"/>
              <w:bottom w:val="nil"/>
            </w:tcBorders>
          </w:tcPr>
          <w:p w:rsidR="00831E5E" w:rsidRDefault="00831E5E">
            <w:pPr>
              <w:pStyle w:val="TableParagraph"/>
              <w:ind w:left="0"/>
              <w:rPr>
                <w:rFonts w:ascii="Times New Roman"/>
                <w:sz w:val="20"/>
              </w:rPr>
            </w:pPr>
          </w:p>
        </w:tc>
        <w:tc>
          <w:tcPr>
            <w:tcW w:w="2141" w:type="dxa"/>
            <w:tcBorders>
              <w:top w:val="nil"/>
              <w:bottom w:val="nil"/>
            </w:tcBorders>
          </w:tcPr>
          <w:p w:rsidR="00831E5E" w:rsidRDefault="008A440C">
            <w:pPr>
              <w:pStyle w:val="TableParagraph"/>
              <w:spacing w:before="173"/>
            </w:pPr>
            <w:r>
              <w:rPr>
                <w:u w:val="single"/>
              </w:rPr>
              <w:t>Approved By</w:t>
            </w:r>
            <w:r>
              <w:t>:</w:t>
            </w:r>
          </w:p>
        </w:tc>
      </w:tr>
      <w:tr w:rsidR="00831E5E">
        <w:trPr>
          <w:trHeight w:val="300"/>
        </w:trPr>
        <w:tc>
          <w:tcPr>
            <w:tcW w:w="2448" w:type="dxa"/>
            <w:tcBorders>
              <w:top w:val="nil"/>
              <w:bottom w:val="nil"/>
            </w:tcBorders>
          </w:tcPr>
          <w:p w:rsidR="00831E5E" w:rsidRDefault="00831E5E">
            <w:pPr>
              <w:pStyle w:val="TableParagraph"/>
              <w:spacing w:before="16"/>
            </w:pPr>
          </w:p>
        </w:tc>
        <w:tc>
          <w:tcPr>
            <w:tcW w:w="5239" w:type="dxa"/>
            <w:tcBorders>
              <w:top w:val="nil"/>
              <w:bottom w:val="nil"/>
            </w:tcBorders>
          </w:tcPr>
          <w:p w:rsidR="00831E5E" w:rsidRDefault="00831E5E">
            <w:pPr>
              <w:pStyle w:val="TableParagraph"/>
              <w:ind w:left="0"/>
              <w:rPr>
                <w:rFonts w:ascii="Times New Roman"/>
                <w:sz w:val="20"/>
              </w:rPr>
            </w:pPr>
          </w:p>
        </w:tc>
        <w:tc>
          <w:tcPr>
            <w:tcW w:w="2141" w:type="dxa"/>
            <w:tcBorders>
              <w:top w:val="nil"/>
              <w:bottom w:val="nil"/>
            </w:tcBorders>
          </w:tcPr>
          <w:p w:rsidR="00831E5E" w:rsidRDefault="008A440C">
            <w:pPr>
              <w:pStyle w:val="TableParagraph"/>
              <w:spacing w:before="16"/>
            </w:pPr>
            <w:r>
              <w:t>GM.DOE</w:t>
            </w:r>
          </w:p>
        </w:tc>
      </w:tr>
      <w:tr w:rsidR="00831E5E">
        <w:trPr>
          <w:trHeight w:val="300"/>
        </w:trPr>
        <w:tc>
          <w:tcPr>
            <w:tcW w:w="2448" w:type="dxa"/>
            <w:tcBorders>
              <w:top w:val="nil"/>
              <w:bottom w:val="nil"/>
            </w:tcBorders>
          </w:tcPr>
          <w:p w:rsidR="00831E5E" w:rsidRDefault="00831E5E">
            <w:pPr>
              <w:pStyle w:val="TableParagraph"/>
              <w:ind w:left="0"/>
              <w:rPr>
                <w:rFonts w:ascii="Times New Roman"/>
                <w:sz w:val="20"/>
              </w:rPr>
            </w:pPr>
          </w:p>
        </w:tc>
        <w:tc>
          <w:tcPr>
            <w:tcW w:w="5239" w:type="dxa"/>
            <w:tcBorders>
              <w:top w:val="nil"/>
              <w:bottom w:val="nil"/>
            </w:tcBorders>
          </w:tcPr>
          <w:p w:rsidR="00831E5E" w:rsidRDefault="008A440C">
            <w:pPr>
              <w:pStyle w:val="TableParagraph"/>
              <w:spacing w:before="40" w:line="243" w:lineRule="exact"/>
              <w:ind w:left="551" w:right="542"/>
              <w:jc w:val="center"/>
              <w:rPr>
                <w:b/>
              </w:rPr>
            </w:pPr>
            <w:r>
              <w:rPr>
                <w:b/>
              </w:rPr>
              <w:t>GUEST COMFORT</w:t>
            </w:r>
          </w:p>
        </w:tc>
        <w:tc>
          <w:tcPr>
            <w:tcW w:w="2141" w:type="dxa"/>
            <w:tcBorders>
              <w:top w:val="nil"/>
              <w:bottom w:val="nil"/>
            </w:tcBorders>
          </w:tcPr>
          <w:p w:rsidR="00831E5E" w:rsidRDefault="00831E5E">
            <w:pPr>
              <w:pStyle w:val="TableParagraph"/>
              <w:ind w:left="0"/>
              <w:rPr>
                <w:rFonts w:ascii="Times New Roman"/>
                <w:sz w:val="20"/>
              </w:rPr>
            </w:pPr>
          </w:p>
        </w:tc>
      </w:tr>
      <w:tr w:rsidR="00831E5E">
        <w:trPr>
          <w:trHeight w:val="260"/>
        </w:trPr>
        <w:tc>
          <w:tcPr>
            <w:tcW w:w="2448" w:type="dxa"/>
            <w:tcBorders>
              <w:top w:val="nil"/>
              <w:bottom w:val="nil"/>
            </w:tcBorders>
          </w:tcPr>
          <w:p w:rsidR="00831E5E" w:rsidRDefault="008A440C">
            <w:pPr>
              <w:pStyle w:val="TableParagraph"/>
              <w:spacing w:before="3"/>
            </w:pPr>
            <w:r>
              <w:rPr>
                <w:u w:val="single"/>
              </w:rPr>
              <w:t>New Revision Due</w:t>
            </w:r>
            <w:r>
              <w:t>:</w:t>
            </w:r>
          </w:p>
        </w:tc>
        <w:tc>
          <w:tcPr>
            <w:tcW w:w="5239" w:type="dxa"/>
            <w:tcBorders>
              <w:top w:val="nil"/>
              <w:bottom w:val="nil"/>
            </w:tcBorders>
          </w:tcPr>
          <w:p w:rsidR="00831E5E" w:rsidRDefault="00831E5E">
            <w:pPr>
              <w:pStyle w:val="TableParagraph"/>
              <w:ind w:left="0"/>
              <w:rPr>
                <w:rFonts w:ascii="Times New Roman"/>
                <w:sz w:val="20"/>
              </w:rPr>
            </w:pPr>
          </w:p>
        </w:tc>
        <w:tc>
          <w:tcPr>
            <w:tcW w:w="2141" w:type="dxa"/>
            <w:tcBorders>
              <w:top w:val="nil"/>
              <w:bottom w:val="nil"/>
            </w:tcBorders>
          </w:tcPr>
          <w:p w:rsidR="00831E5E" w:rsidRDefault="00831E5E">
            <w:pPr>
              <w:pStyle w:val="TableParagraph"/>
              <w:ind w:left="0"/>
              <w:rPr>
                <w:rFonts w:ascii="Times New Roman"/>
                <w:sz w:val="20"/>
              </w:rPr>
            </w:pPr>
          </w:p>
        </w:tc>
      </w:tr>
      <w:tr w:rsidR="00831E5E">
        <w:trPr>
          <w:trHeight w:val="620"/>
        </w:trPr>
        <w:tc>
          <w:tcPr>
            <w:tcW w:w="2448" w:type="dxa"/>
            <w:tcBorders>
              <w:top w:val="nil"/>
            </w:tcBorders>
          </w:tcPr>
          <w:p w:rsidR="00831E5E" w:rsidRDefault="00831E5E">
            <w:pPr>
              <w:pStyle w:val="TableParagraph"/>
              <w:spacing w:before="15"/>
            </w:pPr>
          </w:p>
        </w:tc>
        <w:tc>
          <w:tcPr>
            <w:tcW w:w="5239" w:type="dxa"/>
            <w:tcBorders>
              <w:top w:val="nil"/>
            </w:tcBorders>
          </w:tcPr>
          <w:p w:rsidR="00831E5E" w:rsidRDefault="00831E5E">
            <w:pPr>
              <w:pStyle w:val="TableParagraph"/>
              <w:ind w:left="0"/>
              <w:rPr>
                <w:rFonts w:ascii="Times New Roman"/>
                <w:sz w:val="20"/>
              </w:rPr>
            </w:pPr>
          </w:p>
        </w:tc>
        <w:tc>
          <w:tcPr>
            <w:tcW w:w="2141" w:type="dxa"/>
            <w:tcBorders>
              <w:top w:val="nil"/>
            </w:tcBorders>
          </w:tcPr>
          <w:p w:rsidR="00831E5E" w:rsidRDefault="00831E5E">
            <w:pPr>
              <w:pStyle w:val="TableParagraph"/>
              <w:ind w:left="0"/>
              <w:rPr>
                <w:rFonts w:ascii="Times New Roman"/>
                <w:sz w:val="20"/>
              </w:rPr>
            </w:pPr>
          </w:p>
        </w:tc>
      </w:tr>
    </w:tbl>
    <w:p w:rsidR="00831E5E" w:rsidRDefault="00DB0928">
      <w:pPr>
        <w:pStyle w:val="BodyText"/>
        <w:spacing w:before="5"/>
        <w:rPr>
          <w:rFonts w:ascii="Times New Roman"/>
          <w:sz w:val="18"/>
        </w:rPr>
      </w:pPr>
      <w:r>
        <w:pict>
          <v:shapetype id="_x0000_t202" coordsize="21600,21600" o:spt="202" path="m,l,21600r21600,l21600,xe">
            <v:stroke joinstyle="miter"/>
            <v:path gradientshapeok="t" o:connecttype="rect"/>
          </v:shapetype>
          <v:shape id="_x0000_s1034" type="#_x0000_t202" style="position:absolute;margin-left:66.7pt;margin-top:12.85pt;width:383.4pt;height:19.8pt;z-index:251656704;mso-wrap-distance-left:0;mso-wrap-distance-right:0;mso-position-horizontal-relative:page;mso-position-vertical-relative:text" filled="f" strokeweight=".48pt">
            <v:textbox inset="0,0,0,0">
              <w:txbxContent>
                <w:p w:rsidR="00831E5E" w:rsidRDefault="008A440C">
                  <w:pPr>
                    <w:spacing w:before="2"/>
                    <w:ind w:left="103"/>
                  </w:pPr>
                  <w:r>
                    <w:t>Subject: Painting &amp; Touching Up</w:t>
                  </w:r>
                </w:p>
              </w:txbxContent>
            </v:textbox>
            <w10:wrap type="topAndBottom" anchorx="page"/>
          </v:shape>
        </w:pict>
      </w:r>
    </w:p>
    <w:p w:rsidR="00831E5E" w:rsidRDefault="00831E5E">
      <w:pPr>
        <w:pStyle w:val="BodyText"/>
        <w:spacing w:before="9"/>
        <w:rPr>
          <w:rFonts w:ascii="Times New Roman"/>
          <w:sz w:val="28"/>
        </w:rPr>
      </w:pPr>
    </w:p>
    <w:p w:rsidR="00831E5E" w:rsidRDefault="00DB0928">
      <w:pPr>
        <w:pStyle w:val="Heading1"/>
        <w:spacing w:before="93"/>
      </w:pPr>
      <w:r>
        <w:pict>
          <v:shape id="_x0000_s1033" type="#_x0000_t202" style="position:absolute;left:0;text-align:left;margin-left:450.1pt;margin-top:-38.05pt;width:108pt;height:19.8pt;z-index:-251657728;mso-position-horizontal-relative:page" filled="f" strokeweight=".48pt">
            <v:textbox inset="0,0,0,0">
              <w:txbxContent>
                <w:p w:rsidR="00831E5E" w:rsidRDefault="008A440C">
                  <w:pPr>
                    <w:spacing w:before="65"/>
                    <w:ind w:left="103"/>
                  </w:pPr>
                  <w:r>
                    <w:t>3 pages</w:t>
                  </w:r>
                </w:p>
              </w:txbxContent>
            </v:textbox>
            <w10:wrap anchorx="page"/>
          </v:shape>
        </w:pict>
      </w:r>
      <w:r w:rsidR="008A440C">
        <w:t>POLICY</w:t>
      </w:r>
    </w:p>
    <w:p w:rsidR="00831E5E" w:rsidRDefault="00831E5E">
      <w:pPr>
        <w:pStyle w:val="BodyText"/>
        <w:spacing w:before="3"/>
        <w:rPr>
          <w:b/>
        </w:rPr>
      </w:pPr>
    </w:p>
    <w:p w:rsidR="00831E5E" w:rsidRDefault="008A440C">
      <w:pPr>
        <w:pStyle w:val="BodyText"/>
        <w:ind w:left="222"/>
      </w:pPr>
      <w:r>
        <w:t>To ensure that consistency of surface color and finishing is maintained throughout the property</w:t>
      </w:r>
    </w:p>
    <w:p w:rsidR="00B87AB6" w:rsidRPr="00B87AB6" w:rsidRDefault="00B87AB6" w:rsidP="00B87AB6">
      <w:pPr>
        <w:pStyle w:val="BodyText"/>
        <w:rPr>
          <w:i/>
        </w:rPr>
      </w:pPr>
      <w:r>
        <w:rPr>
          <w:i/>
        </w:rPr>
        <w:t xml:space="preserve">     </w:t>
      </w:r>
      <w:r w:rsidRPr="00B87AB6">
        <w:rPr>
          <w:i/>
        </w:rPr>
        <w:t>Để đảm bảo tính nhất quán của màu sắc bề mặt và hoàn thiện được duy trì trong toàn bộ tài sản</w:t>
      </w:r>
    </w:p>
    <w:p w:rsidR="00831E5E" w:rsidRDefault="00831E5E">
      <w:pPr>
        <w:pStyle w:val="BodyText"/>
        <w:rPr>
          <w:sz w:val="22"/>
        </w:rPr>
      </w:pPr>
    </w:p>
    <w:p w:rsidR="00831E5E" w:rsidRDefault="00831E5E">
      <w:pPr>
        <w:pStyle w:val="BodyText"/>
        <w:spacing w:before="7"/>
        <w:rPr>
          <w:sz w:val="17"/>
        </w:rPr>
      </w:pPr>
    </w:p>
    <w:p w:rsidR="00831E5E" w:rsidRDefault="008A440C">
      <w:pPr>
        <w:pStyle w:val="Heading1"/>
      </w:pPr>
      <w:r>
        <w:t>PROCEDURE</w:t>
      </w:r>
    </w:p>
    <w:p w:rsidR="00831E5E" w:rsidRDefault="00831E5E">
      <w:pPr>
        <w:pStyle w:val="BodyText"/>
        <w:spacing w:before="2"/>
        <w:rPr>
          <w:b/>
        </w:rPr>
      </w:pPr>
    </w:p>
    <w:p w:rsidR="00831E5E" w:rsidRDefault="008A440C" w:rsidP="00B87AB6">
      <w:pPr>
        <w:pStyle w:val="BodyText"/>
        <w:ind w:left="222" w:right="535"/>
      </w:pPr>
      <w:r>
        <w:t>The Hotels ISO14001 Environmental Management Systems stipulates that paints used within the Hotel be as environmentally friendly consistent with protecting the surfaces to which they are applied. All paints used within the hotel are to be water based acrylics.</w:t>
      </w:r>
    </w:p>
    <w:p w:rsidR="00831E5E" w:rsidRPr="00B87AB6" w:rsidRDefault="00B87AB6" w:rsidP="00B87AB6">
      <w:pPr>
        <w:pStyle w:val="BodyText"/>
        <w:rPr>
          <w:i/>
        </w:rPr>
      </w:pPr>
      <w:r>
        <w:rPr>
          <w:i/>
        </w:rPr>
        <w:t xml:space="preserve">    </w:t>
      </w:r>
      <w:r w:rsidRPr="00B87AB6">
        <w:rPr>
          <w:i/>
        </w:rPr>
        <w:t xml:space="preserve">Hệ thống quản lý môi trường ISO14001 quy định rằng các loại sơn được sử dụng trong khách sạn sẽ thân </w:t>
      </w:r>
      <w:r>
        <w:rPr>
          <w:i/>
        </w:rPr>
        <w:t xml:space="preserve">    </w:t>
      </w:r>
      <w:r w:rsidRPr="00B87AB6">
        <w:rPr>
          <w:i/>
        </w:rPr>
        <w:t>thiện với môi trường nhất quán với việc bảo vệ các bề mặt mà chúng được áp dụng. Tất cả các loại sơn được sử dụng trong khách sạn đều là acrylic gốc nước.</w:t>
      </w:r>
    </w:p>
    <w:p w:rsidR="00831E5E" w:rsidRPr="00B87AB6" w:rsidRDefault="00831E5E" w:rsidP="00B87AB6">
      <w:pPr>
        <w:pStyle w:val="BodyText"/>
        <w:spacing w:before="7"/>
        <w:rPr>
          <w:i/>
          <w:sz w:val="16"/>
        </w:rPr>
      </w:pPr>
    </w:p>
    <w:p w:rsidR="00831E5E" w:rsidRDefault="008A440C">
      <w:pPr>
        <w:pStyle w:val="Heading1"/>
      </w:pPr>
      <w:r>
        <w:t>Paint finishes and applications or otherwise specified</w:t>
      </w:r>
    </w:p>
    <w:p w:rsidR="00831E5E" w:rsidRDefault="00831E5E">
      <w:pPr>
        <w:pStyle w:val="BodyText"/>
        <w:spacing w:before="5"/>
        <w:rPr>
          <w:b/>
        </w:rPr>
      </w:pPr>
    </w:p>
    <w:tbl>
      <w:tblPr>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40"/>
        <w:gridCol w:w="7380"/>
      </w:tblGrid>
      <w:tr w:rsidR="00831E5E">
        <w:trPr>
          <w:trHeight w:val="320"/>
        </w:trPr>
        <w:tc>
          <w:tcPr>
            <w:tcW w:w="2340" w:type="dxa"/>
          </w:tcPr>
          <w:p w:rsidR="00831E5E" w:rsidRDefault="008A440C">
            <w:pPr>
              <w:pStyle w:val="TableParagraph"/>
              <w:spacing w:before="42"/>
              <w:rPr>
                <w:sz w:val="20"/>
              </w:rPr>
            </w:pPr>
            <w:r>
              <w:rPr>
                <w:sz w:val="20"/>
              </w:rPr>
              <w:t>High Gloss Acrylic</w:t>
            </w:r>
          </w:p>
        </w:tc>
        <w:tc>
          <w:tcPr>
            <w:tcW w:w="7380" w:type="dxa"/>
          </w:tcPr>
          <w:p w:rsidR="00831E5E" w:rsidRPr="00AE2EA5" w:rsidRDefault="008A440C" w:rsidP="00AE2EA5">
            <w:pPr>
              <w:pStyle w:val="BodyText"/>
              <w:rPr>
                <w:sz w:val="22"/>
              </w:rPr>
            </w:pPr>
            <w:r>
              <w:t>Door frames and other metal painted surfaces</w:t>
            </w:r>
            <w:r w:rsidR="00AE2EA5" w:rsidRPr="00F56F98">
              <w:rPr>
                <w:sz w:val="22"/>
              </w:rPr>
              <w:t xml:space="preserve"> </w:t>
            </w:r>
            <w:r w:rsidR="00AE2EA5" w:rsidRPr="00AE2EA5">
              <w:rPr>
                <w:i/>
              </w:rPr>
              <w:t>Khung cửa Acrylic có độ bóng cao và các bề mặt sơn kim loại khác</w:t>
            </w:r>
          </w:p>
        </w:tc>
      </w:tr>
      <w:tr w:rsidR="00831E5E">
        <w:trPr>
          <w:trHeight w:val="340"/>
        </w:trPr>
        <w:tc>
          <w:tcPr>
            <w:tcW w:w="2340" w:type="dxa"/>
          </w:tcPr>
          <w:p w:rsidR="00831E5E" w:rsidRDefault="008A440C">
            <w:pPr>
              <w:pStyle w:val="TableParagraph"/>
              <w:spacing w:before="57"/>
              <w:rPr>
                <w:sz w:val="20"/>
              </w:rPr>
            </w:pPr>
            <w:r>
              <w:rPr>
                <w:sz w:val="20"/>
              </w:rPr>
              <w:t>Enamel Acrylic</w:t>
            </w:r>
          </w:p>
        </w:tc>
        <w:tc>
          <w:tcPr>
            <w:tcW w:w="7380" w:type="dxa"/>
          </w:tcPr>
          <w:p w:rsidR="00831E5E" w:rsidRPr="00AE2EA5" w:rsidRDefault="008A440C" w:rsidP="00AE2EA5">
            <w:pPr>
              <w:pStyle w:val="BodyText"/>
              <w:rPr>
                <w:i/>
              </w:rPr>
            </w:pPr>
            <w:r>
              <w:t>Door frames and other metal painted surfaces – public areas</w:t>
            </w:r>
            <w:r w:rsidR="00AE2EA5">
              <w:t xml:space="preserve">: </w:t>
            </w:r>
            <w:r w:rsidR="00AE2EA5" w:rsidRPr="00AE2EA5">
              <w:rPr>
                <w:i/>
              </w:rPr>
              <w:t>Khung cửa Acrylic men và các bề mặt sơn kim loại khác - khu vực công cộng</w:t>
            </w:r>
          </w:p>
        </w:tc>
      </w:tr>
      <w:tr w:rsidR="00831E5E">
        <w:trPr>
          <w:trHeight w:val="340"/>
        </w:trPr>
        <w:tc>
          <w:tcPr>
            <w:tcW w:w="2340" w:type="dxa"/>
          </w:tcPr>
          <w:p w:rsidR="00831E5E" w:rsidRDefault="008A440C">
            <w:pPr>
              <w:pStyle w:val="TableParagraph"/>
              <w:spacing w:before="57"/>
              <w:rPr>
                <w:sz w:val="20"/>
              </w:rPr>
            </w:pPr>
            <w:r>
              <w:rPr>
                <w:sz w:val="20"/>
              </w:rPr>
              <w:t>Semi-Gloss Acrylic</w:t>
            </w:r>
          </w:p>
        </w:tc>
        <w:tc>
          <w:tcPr>
            <w:tcW w:w="7380" w:type="dxa"/>
          </w:tcPr>
          <w:p w:rsidR="00831E5E" w:rsidRPr="00AE2EA5" w:rsidRDefault="008A440C" w:rsidP="00AE2EA5">
            <w:pPr>
              <w:pStyle w:val="BodyText"/>
              <w:rPr>
                <w:sz w:val="22"/>
              </w:rPr>
            </w:pPr>
            <w:r>
              <w:t>Doors and walls where high usage/wear and tear are expected</w:t>
            </w:r>
            <w:r w:rsidR="00AE2EA5">
              <w:t xml:space="preserve">: </w:t>
            </w:r>
            <w:r w:rsidR="00AE2EA5" w:rsidRPr="00AE2EA5">
              <w:rPr>
                <w:i/>
              </w:rPr>
              <w:t>Cửa và tường nơi sử dụng cao / hao mòn được mong đợi</w:t>
            </w:r>
          </w:p>
        </w:tc>
      </w:tr>
      <w:tr w:rsidR="00831E5E">
        <w:trPr>
          <w:trHeight w:val="340"/>
        </w:trPr>
        <w:tc>
          <w:tcPr>
            <w:tcW w:w="2340" w:type="dxa"/>
          </w:tcPr>
          <w:p w:rsidR="00831E5E" w:rsidRDefault="008A440C">
            <w:pPr>
              <w:pStyle w:val="TableParagraph"/>
              <w:spacing w:before="57"/>
              <w:rPr>
                <w:sz w:val="20"/>
              </w:rPr>
            </w:pPr>
            <w:r>
              <w:rPr>
                <w:sz w:val="20"/>
              </w:rPr>
              <w:t>Satin Acrylic</w:t>
            </w:r>
          </w:p>
        </w:tc>
        <w:tc>
          <w:tcPr>
            <w:tcW w:w="7380" w:type="dxa"/>
          </w:tcPr>
          <w:p w:rsidR="00831E5E" w:rsidRPr="00AE2EA5" w:rsidRDefault="008A440C" w:rsidP="00AE2EA5">
            <w:pPr>
              <w:pStyle w:val="BodyText"/>
              <w:rPr>
                <w:sz w:val="22"/>
              </w:rPr>
            </w:pPr>
            <w:r>
              <w:t>Walls and external surfaces</w:t>
            </w:r>
            <w:r w:rsidR="00AE2EA5">
              <w:t xml:space="preserve">: </w:t>
            </w:r>
            <w:r w:rsidR="00AE2EA5" w:rsidRPr="00AE2EA5">
              <w:rPr>
                <w:i/>
              </w:rPr>
              <w:t>Tườ</w:t>
            </w:r>
            <w:r w:rsidR="00AE2EA5">
              <w:rPr>
                <w:i/>
              </w:rPr>
              <w:t xml:space="preserve">ng </w:t>
            </w:r>
            <w:r w:rsidR="00AE2EA5" w:rsidRPr="00AE2EA5">
              <w:rPr>
                <w:i/>
              </w:rPr>
              <w:t>và bề mặt bên ngoài</w:t>
            </w:r>
          </w:p>
        </w:tc>
      </w:tr>
      <w:tr w:rsidR="00831E5E">
        <w:trPr>
          <w:trHeight w:val="340"/>
        </w:trPr>
        <w:tc>
          <w:tcPr>
            <w:tcW w:w="2340" w:type="dxa"/>
          </w:tcPr>
          <w:p w:rsidR="00831E5E" w:rsidRDefault="008A440C">
            <w:pPr>
              <w:pStyle w:val="TableParagraph"/>
              <w:spacing w:before="57"/>
              <w:rPr>
                <w:sz w:val="20"/>
              </w:rPr>
            </w:pPr>
            <w:r>
              <w:rPr>
                <w:sz w:val="20"/>
              </w:rPr>
              <w:t>Flat Acrylic</w:t>
            </w:r>
          </w:p>
        </w:tc>
        <w:tc>
          <w:tcPr>
            <w:tcW w:w="7380" w:type="dxa"/>
          </w:tcPr>
          <w:p w:rsidR="00831E5E" w:rsidRPr="00180A72" w:rsidRDefault="008A440C" w:rsidP="00180A72">
            <w:pPr>
              <w:pStyle w:val="BodyText"/>
              <w:rPr>
                <w:i/>
              </w:rPr>
            </w:pPr>
            <w:r>
              <w:t>Ceilings and other large areas where wear and tear is not expected</w:t>
            </w:r>
            <w:r w:rsidR="00180A72">
              <w:t xml:space="preserve">: </w:t>
            </w:r>
            <w:r w:rsidR="00180A72" w:rsidRPr="00180A72">
              <w:rPr>
                <w:i/>
              </w:rPr>
              <w:t>Trần acrylic phẳng và các khu vực rộng lớ</w:t>
            </w:r>
            <w:r w:rsidR="00180A72">
              <w:rPr>
                <w:i/>
              </w:rPr>
              <w:t xml:space="preserve">n khác </w:t>
            </w:r>
            <w:r w:rsidR="00180A72" w:rsidRPr="00180A72">
              <w:rPr>
                <w:i/>
              </w:rPr>
              <w:t>không bị hao mòn</w:t>
            </w:r>
          </w:p>
        </w:tc>
      </w:tr>
    </w:tbl>
    <w:p w:rsidR="00831E5E" w:rsidRDefault="00831E5E">
      <w:pPr>
        <w:pStyle w:val="BodyText"/>
        <w:rPr>
          <w:b/>
          <w:sz w:val="22"/>
        </w:rPr>
      </w:pPr>
    </w:p>
    <w:p w:rsidR="00831E5E" w:rsidRDefault="00831E5E">
      <w:pPr>
        <w:pStyle w:val="BodyText"/>
        <w:spacing w:before="4"/>
        <w:rPr>
          <w:b/>
          <w:sz w:val="17"/>
        </w:rPr>
      </w:pPr>
    </w:p>
    <w:p w:rsidR="00831E5E" w:rsidRDefault="008A440C">
      <w:pPr>
        <w:ind w:left="222"/>
        <w:rPr>
          <w:b/>
          <w:sz w:val="20"/>
        </w:rPr>
      </w:pPr>
      <w:r>
        <w:rPr>
          <w:b/>
          <w:sz w:val="20"/>
        </w:rPr>
        <w:t>Paint Colours</w:t>
      </w:r>
    </w:p>
    <w:p w:rsidR="00831E5E" w:rsidRDefault="00831E5E">
      <w:pPr>
        <w:pStyle w:val="BodyText"/>
        <w:spacing w:before="2"/>
        <w:rPr>
          <w:b/>
        </w:rPr>
      </w:pPr>
    </w:p>
    <w:p w:rsidR="00831E5E" w:rsidRDefault="008A440C">
      <w:pPr>
        <w:pStyle w:val="BodyText"/>
        <w:ind w:left="222" w:right="921"/>
        <w:jc w:val="both"/>
      </w:pPr>
      <w:r>
        <w:t>Paint colours and finishes are to be in accordance with the current schedule of finishes located in the Engineers office. No alternative colours or finishes are to be applied without the approval of the Chief Engineer in consultation with the Interior Design consultant.</w:t>
      </w:r>
    </w:p>
    <w:p w:rsidR="00446B45" w:rsidRPr="00446B45" w:rsidRDefault="00446B45" w:rsidP="00446B45">
      <w:pPr>
        <w:pStyle w:val="BodyText"/>
        <w:rPr>
          <w:i/>
        </w:rPr>
      </w:pPr>
      <w:r w:rsidRPr="00446B45">
        <w:rPr>
          <w:i/>
        </w:rPr>
        <w:t>Sơn màu và kết thúc phải phù hợp với lịch trình kết thúc hiện tại nằm trong văn phòng Kỹ</w:t>
      </w:r>
      <w:r>
        <w:rPr>
          <w:i/>
        </w:rPr>
        <w:t xml:space="preserve"> thuật</w:t>
      </w:r>
      <w:r w:rsidRPr="00446B45">
        <w:rPr>
          <w:i/>
        </w:rPr>
        <w:t xml:space="preserve">. Không có màu sắc thay thế hoặc kết thúc sẽ </w:t>
      </w:r>
      <w:r w:rsidR="00552C88">
        <w:rPr>
          <w:i/>
        </w:rPr>
        <w:t xml:space="preserve">không </w:t>
      </w:r>
      <w:r w:rsidRPr="00446B45">
        <w:rPr>
          <w:i/>
        </w:rPr>
        <w:t>được áp dụ</w:t>
      </w:r>
      <w:r w:rsidR="00552C88">
        <w:rPr>
          <w:i/>
        </w:rPr>
        <w:t>ng mà không</w:t>
      </w:r>
      <w:r w:rsidRPr="00446B45">
        <w:rPr>
          <w:i/>
        </w:rPr>
        <w:t xml:space="preserve"> có sự chấp thuận của các kỹ sư trưởng tham khảo ý kiến ​​với các nhà tư vấn thiết kế nội thất.</w:t>
      </w:r>
    </w:p>
    <w:p w:rsidR="00831E5E" w:rsidRDefault="00831E5E">
      <w:pPr>
        <w:pStyle w:val="BodyText"/>
        <w:rPr>
          <w:sz w:val="22"/>
        </w:rPr>
      </w:pPr>
    </w:p>
    <w:p w:rsidR="00831E5E" w:rsidRDefault="008A440C">
      <w:pPr>
        <w:pStyle w:val="Heading1"/>
      </w:pPr>
      <w:r>
        <w:t>Drop Sheets</w:t>
      </w:r>
    </w:p>
    <w:p w:rsidR="00831E5E" w:rsidRDefault="00831E5E">
      <w:pPr>
        <w:pStyle w:val="BodyText"/>
        <w:spacing w:before="2"/>
        <w:rPr>
          <w:b/>
        </w:rPr>
      </w:pPr>
    </w:p>
    <w:p w:rsidR="00831E5E" w:rsidRDefault="008A440C">
      <w:pPr>
        <w:pStyle w:val="BodyText"/>
        <w:ind w:left="222" w:right="590"/>
      </w:pPr>
      <w:r>
        <w:t>Drop sheets are to be used to prevent damage to floor and other surface finishes. Drop sheets present a trip hazard. Where drop sheets are in use, the area is to be isolated using barrier tape and bollards.</w:t>
      </w:r>
    </w:p>
    <w:p w:rsidR="00AE62C5" w:rsidRDefault="00AE62C5"/>
    <w:p w:rsidR="00AE62C5" w:rsidRPr="00AE62C5" w:rsidRDefault="009F007D" w:rsidP="00AE62C5">
      <w:pPr>
        <w:pStyle w:val="BodyText"/>
        <w:rPr>
          <w:i/>
        </w:rPr>
      </w:pPr>
      <w:r>
        <w:rPr>
          <w:i/>
        </w:rPr>
        <w:t>Lớp phủ phải</w:t>
      </w:r>
      <w:r w:rsidR="00AE62C5" w:rsidRPr="00AE62C5">
        <w:rPr>
          <w:i/>
        </w:rPr>
        <w:t xml:space="preserve"> được sử dụng để ngăn chặn hư hỏng sàn và các bề mặt hoàn thiện k</w:t>
      </w:r>
      <w:r>
        <w:rPr>
          <w:i/>
        </w:rPr>
        <w:t>hác. Lớp phủ trải</w:t>
      </w:r>
      <w:r w:rsidR="00AE62C5">
        <w:rPr>
          <w:i/>
        </w:rPr>
        <w:t xml:space="preserve"> ra gây nguy hiểm cho việc đi lại</w:t>
      </w:r>
      <w:r w:rsidR="00AE62C5" w:rsidRPr="00AE62C5">
        <w:rPr>
          <w:i/>
        </w:rPr>
        <w:t>. Trong trường hợ</w:t>
      </w:r>
      <w:r>
        <w:rPr>
          <w:i/>
        </w:rPr>
        <w:t xml:space="preserve">p các lớp phủ </w:t>
      </w:r>
      <w:r w:rsidR="00AE62C5" w:rsidRPr="00AE62C5">
        <w:rPr>
          <w:i/>
        </w:rPr>
        <w:t xml:space="preserve"> đang được sử dụng, khu vực này sẽ được cô lập bằng băng keo và bollards.</w:t>
      </w:r>
    </w:p>
    <w:p w:rsidR="00AE62C5" w:rsidRDefault="00AE62C5" w:rsidP="00AE62C5"/>
    <w:p w:rsidR="00AE62C5" w:rsidRDefault="00AE62C5" w:rsidP="00AE62C5"/>
    <w:p w:rsidR="00831E5E" w:rsidRDefault="008A440C">
      <w:pPr>
        <w:pStyle w:val="Heading1"/>
        <w:spacing w:before="93"/>
        <w:ind w:left="102"/>
      </w:pPr>
      <w:r>
        <w:t>HOW TO SAFELY CLEAN UP AFTER PAINTING</w:t>
      </w:r>
      <w:bookmarkStart w:id="0" w:name="_GoBack"/>
      <w:bookmarkEnd w:id="0"/>
    </w:p>
    <w:p w:rsidR="00831E5E" w:rsidRDefault="00831E5E">
      <w:pPr>
        <w:pStyle w:val="BodyText"/>
        <w:rPr>
          <w:b/>
        </w:rPr>
      </w:pPr>
    </w:p>
    <w:p w:rsidR="00AF0375" w:rsidRPr="00F56F98" w:rsidRDefault="008A440C" w:rsidP="00AF0375">
      <w:pPr>
        <w:pStyle w:val="BodyText"/>
        <w:rPr>
          <w:sz w:val="22"/>
        </w:rPr>
      </w:pPr>
      <w:r>
        <w:rPr>
          <w:b/>
        </w:rPr>
        <w:t>Easy to Use Cleaning System</w:t>
      </w:r>
      <w:r w:rsidR="00AF0375" w:rsidRPr="00AF0375">
        <w:rPr>
          <w:sz w:val="22"/>
        </w:rPr>
        <w:t xml:space="preserve"> </w:t>
      </w:r>
      <w:r w:rsidR="00AF0375">
        <w:rPr>
          <w:sz w:val="22"/>
        </w:rPr>
        <w:t xml:space="preserve">: </w:t>
      </w:r>
      <w:r w:rsidR="00AF0375" w:rsidRPr="00F56F98">
        <w:rPr>
          <w:sz w:val="22"/>
        </w:rPr>
        <w:t>Dễ dàng sử dụng hệ thống làm sạch</w:t>
      </w:r>
    </w:p>
    <w:p w:rsidR="00831E5E" w:rsidRDefault="00831E5E">
      <w:pPr>
        <w:ind w:left="102"/>
        <w:rPr>
          <w:b/>
          <w:sz w:val="20"/>
        </w:rPr>
      </w:pPr>
    </w:p>
    <w:p w:rsidR="00831E5E" w:rsidRDefault="00831E5E">
      <w:pPr>
        <w:pStyle w:val="BodyText"/>
        <w:spacing w:before="2"/>
        <w:rPr>
          <w:b/>
        </w:rPr>
      </w:pPr>
    </w:p>
    <w:p w:rsidR="00831E5E" w:rsidRDefault="008A440C">
      <w:pPr>
        <w:pStyle w:val="BodyText"/>
        <w:ind w:left="102" w:right="164"/>
      </w:pPr>
      <w:r>
        <w:t>This system is based on the use of 2 containers in which brushes, roller sleeves and other equipment are first washed then rinsed.</w:t>
      </w:r>
    </w:p>
    <w:p w:rsidR="00AF0375" w:rsidRPr="00AF0375" w:rsidRDefault="00AF0375" w:rsidP="00AF0375">
      <w:pPr>
        <w:pStyle w:val="BodyText"/>
        <w:rPr>
          <w:i/>
        </w:rPr>
      </w:pPr>
      <w:r w:rsidRPr="00AF0375">
        <w:rPr>
          <w:i/>
        </w:rPr>
        <w:t>Hệ thống này được dựa trên việc sử dụng 2 thùng chứa trong đó bàn chải, tay áo con lăn và các thiết bị khác được rửa sạch</w:t>
      </w:r>
      <w:r>
        <w:rPr>
          <w:i/>
        </w:rPr>
        <w:t>,</w:t>
      </w:r>
      <w:r w:rsidRPr="00AF0375">
        <w:rPr>
          <w:i/>
        </w:rPr>
        <w:t xml:space="preserve"> sau đó rửa sạ</w:t>
      </w:r>
      <w:r>
        <w:rPr>
          <w:i/>
        </w:rPr>
        <w:t>ch lại.</w:t>
      </w:r>
    </w:p>
    <w:p w:rsidR="00831E5E" w:rsidRDefault="00831E5E">
      <w:pPr>
        <w:pStyle w:val="BodyText"/>
      </w:pPr>
    </w:p>
    <w:p w:rsidR="00831E5E" w:rsidRDefault="008A440C">
      <w:pPr>
        <w:pStyle w:val="BodyText"/>
        <w:ind w:left="102" w:right="130"/>
      </w:pPr>
      <w:r>
        <w:t>By rotating the containers the solids in the paints are separated from the liquid making it easier to dispose of each component. This system will work well for both water based and solvent based (alkyd or oil) paints.</w:t>
      </w:r>
    </w:p>
    <w:p w:rsidR="002C0A41" w:rsidRPr="002C0A41" w:rsidRDefault="002C0A41" w:rsidP="002C0A41">
      <w:pPr>
        <w:pStyle w:val="BodyText"/>
        <w:rPr>
          <w:i/>
        </w:rPr>
      </w:pPr>
      <w:r w:rsidRPr="002C0A41">
        <w:rPr>
          <w:i/>
        </w:rPr>
        <w:t>Bằng cách xoay các thùng chứa, các chất rắn trong các loại sơn được tách ra khỏi chất lỏng khiến việc vứt bỏ từng thành phần dễ dàng hơn. Hệ thống này sẽ hoạt động tốt cho cả sơn gốc nước và dung môi (alkyd hoặc dầu).</w:t>
      </w:r>
    </w:p>
    <w:p w:rsidR="00831E5E" w:rsidRDefault="00831E5E">
      <w:pPr>
        <w:pStyle w:val="BodyText"/>
        <w:spacing w:before="9"/>
        <w:rPr>
          <w:sz w:val="19"/>
        </w:rPr>
      </w:pPr>
    </w:p>
    <w:p w:rsidR="00831E5E" w:rsidRDefault="008A440C">
      <w:pPr>
        <w:pStyle w:val="BodyText"/>
        <w:spacing w:before="1"/>
        <w:ind w:left="102" w:right="586"/>
      </w:pPr>
      <w:r>
        <w:t>For solvent based paints use mineral turpentine or another paint solvent recommended by your local paint stockist.</w:t>
      </w:r>
    </w:p>
    <w:p w:rsidR="00831E5E" w:rsidRPr="00BF1069" w:rsidRDefault="00681CE7">
      <w:pPr>
        <w:pStyle w:val="BodyText"/>
        <w:rPr>
          <w:i/>
        </w:rPr>
      </w:pPr>
      <w:r w:rsidRPr="00681CE7">
        <w:rPr>
          <w:i/>
        </w:rPr>
        <w:t>Đối với sơn dựa trên dung môi sử dụng nhựa thông khoáng hoặc dung môi sơn khác được khuyến cáo bở</w:t>
      </w:r>
      <w:r w:rsidR="00BF1069">
        <w:rPr>
          <w:i/>
        </w:rPr>
        <w:t>i….</w:t>
      </w:r>
    </w:p>
    <w:p w:rsidR="00831E5E" w:rsidRDefault="00831E5E">
      <w:pPr>
        <w:pStyle w:val="BodyText"/>
        <w:spacing w:before="10"/>
        <w:rPr>
          <w:sz w:val="17"/>
        </w:rPr>
      </w:pPr>
    </w:p>
    <w:p w:rsidR="00831E5E" w:rsidRDefault="008A440C">
      <w:pPr>
        <w:pStyle w:val="Heading1"/>
        <w:ind w:left="102"/>
      </w:pPr>
      <w:r>
        <w:t>Water-based paints</w:t>
      </w:r>
    </w:p>
    <w:p w:rsidR="00831E5E" w:rsidRDefault="00831E5E">
      <w:pPr>
        <w:pStyle w:val="BodyText"/>
        <w:rPr>
          <w:b/>
        </w:rPr>
      </w:pPr>
    </w:p>
    <w:p w:rsidR="00831E5E" w:rsidRDefault="008A440C">
      <w:pPr>
        <w:pStyle w:val="ListParagraph"/>
        <w:numPr>
          <w:ilvl w:val="0"/>
          <w:numId w:val="2"/>
        </w:numPr>
        <w:tabs>
          <w:tab w:val="left" w:pos="463"/>
        </w:tabs>
        <w:ind w:right="434"/>
        <w:rPr>
          <w:sz w:val="20"/>
        </w:rPr>
      </w:pPr>
      <w:r>
        <w:rPr>
          <w:sz w:val="20"/>
        </w:rPr>
        <w:t>At</w:t>
      </w:r>
      <w:r>
        <w:rPr>
          <w:spacing w:val="-4"/>
          <w:sz w:val="20"/>
        </w:rPr>
        <w:t xml:space="preserve"> </w:t>
      </w:r>
      <w:r>
        <w:rPr>
          <w:sz w:val="20"/>
        </w:rPr>
        <w:t>the</w:t>
      </w:r>
      <w:r>
        <w:rPr>
          <w:spacing w:val="-4"/>
          <w:sz w:val="20"/>
        </w:rPr>
        <w:t xml:space="preserve"> </w:t>
      </w:r>
      <w:r>
        <w:rPr>
          <w:sz w:val="20"/>
        </w:rPr>
        <w:t>end</w:t>
      </w:r>
      <w:r>
        <w:rPr>
          <w:spacing w:val="-4"/>
          <w:sz w:val="20"/>
        </w:rPr>
        <w:t xml:space="preserve"> </w:t>
      </w:r>
      <w:r>
        <w:rPr>
          <w:sz w:val="20"/>
        </w:rPr>
        <w:t>of</w:t>
      </w:r>
      <w:r>
        <w:rPr>
          <w:spacing w:val="-2"/>
          <w:sz w:val="20"/>
        </w:rPr>
        <w:t xml:space="preserve"> </w:t>
      </w:r>
      <w:r>
        <w:rPr>
          <w:sz w:val="20"/>
        </w:rPr>
        <w:t>each</w:t>
      </w:r>
      <w:r>
        <w:rPr>
          <w:spacing w:val="-2"/>
          <w:sz w:val="20"/>
        </w:rPr>
        <w:t xml:space="preserve"> </w:t>
      </w:r>
      <w:r>
        <w:rPr>
          <w:sz w:val="20"/>
        </w:rPr>
        <w:t>job,</w:t>
      </w:r>
      <w:r>
        <w:rPr>
          <w:spacing w:val="-2"/>
          <w:sz w:val="20"/>
        </w:rPr>
        <w:t xml:space="preserve"> </w:t>
      </w:r>
      <w:r>
        <w:rPr>
          <w:sz w:val="20"/>
        </w:rPr>
        <w:t>wipe</w:t>
      </w:r>
      <w:r>
        <w:rPr>
          <w:spacing w:val="-4"/>
          <w:sz w:val="20"/>
        </w:rPr>
        <w:t xml:space="preserve"> </w:t>
      </w:r>
      <w:r>
        <w:rPr>
          <w:sz w:val="20"/>
        </w:rPr>
        <w:t>or</w:t>
      </w:r>
      <w:r>
        <w:rPr>
          <w:spacing w:val="-3"/>
          <w:sz w:val="20"/>
        </w:rPr>
        <w:t xml:space="preserve"> </w:t>
      </w:r>
      <w:r>
        <w:rPr>
          <w:sz w:val="20"/>
        </w:rPr>
        <w:t>squeeze</w:t>
      </w:r>
      <w:r>
        <w:rPr>
          <w:spacing w:val="-4"/>
          <w:sz w:val="20"/>
        </w:rPr>
        <w:t xml:space="preserve"> </w:t>
      </w:r>
      <w:r>
        <w:rPr>
          <w:sz w:val="20"/>
        </w:rPr>
        <w:t>excess</w:t>
      </w:r>
      <w:r>
        <w:rPr>
          <w:spacing w:val="-3"/>
          <w:sz w:val="20"/>
        </w:rPr>
        <w:t xml:space="preserve"> </w:t>
      </w:r>
      <w:r>
        <w:rPr>
          <w:sz w:val="20"/>
        </w:rPr>
        <w:t>paint</w:t>
      </w:r>
      <w:r>
        <w:rPr>
          <w:spacing w:val="-2"/>
          <w:sz w:val="20"/>
        </w:rPr>
        <w:t xml:space="preserve"> </w:t>
      </w:r>
      <w:r>
        <w:rPr>
          <w:sz w:val="20"/>
        </w:rPr>
        <w:t>onto</w:t>
      </w:r>
      <w:r>
        <w:rPr>
          <w:spacing w:val="-2"/>
          <w:sz w:val="20"/>
        </w:rPr>
        <w:t xml:space="preserve"> </w:t>
      </w:r>
      <w:r>
        <w:rPr>
          <w:sz w:val="20"/>
        </w:rPr>
        <w:t>an</w:t>
      </w:r>
      <w:r>
        <w:rPr>
          <w:spacing w:val="-2"/>
          <w:sz w:val="20"/>
        </w:rPr>
        <w:t xml:space="preserve"> </w:t>
      </w:r>
      <w:r>
        <w:rPr>
          <w:sz w:val="20"/>
        </w:rPr>
        <w:t>absorbent</w:t>
      </w:r>
      <w:r>
        <w:rPr>
          <w:spacing w:val="-4"/>
          <w:sz w:val="20"/>
        </w:rPr>
        <w:t xml:space="preserve"> </w:t>
      </w:r>
      <w:r>
        <w:rPr>
          <w:sz w:val="20"/>
        </w:rPr>
        <w:t>material</w:t>
      </w:r>
      <w:r>
        <w:rPr>
          <w:spacing w:val="-1"/>
          <w:sz w:val="20"/>
        </w:rPr>
        <w:t xml:space="preserve"> </w:t>
      </w:r>
      <w:r>
        <w:rPr>
          <w:sz w:val="20"/>
        </w:rPr>
        <w:t>such</w:t>
      </w:r>
      <w:r>
        <w:rPr>
          <w:spacing w:val="-4"/>
          <w:sz w:val="20"/>
        </w:rPr>
        <w:t xml:space="preserve"> </w:t>
      </w:r>
      <w:r>
        <w:rPr>
          <w:sz w:val="20"/>
        </w:rPr>
        <w:t>as</w:t>
      </w:r>
      <w:r>
        <w:rPr>
          <w:spacing w:val="-3"/>
          <w:sz w:val="20"/>
        </w:rPr>
        <w:t xml:space="preserve"> </w:t>
      </w:r>
      <w:r>
        <w:rPr>
          <w:sz w:val="20"/>
        </w:rPr>
        <w:t>old</w:t>
      </w:r>
      <w:r>
        <w:rPr>
          <w:spacing w:val="-4"/>
          <w:sz w:val="20"/>
        </w:rPr>
        <w:t xml:space="preserve"> </w:t>
      </w:r>
      <w:r>
        <w:rPr>
          <w:sz w:val="20"/>
        </w:rPr>
        <w:t>rags, shredded newspapers or cardboard</w:t>
      </w:r>
      <w:r>
        <w:rPr>
          <w:spacing w:val="-27"/>
          <w:sz w:val="20"/>
        </w:rPr>
        <w:t xml:space="preserve"> </w:t>
      </w:r>
      <w:r>
        <w:rPr>
          <w:sz w:val="20"/>
        </w:rPr>
        <w:t>boxes.</w:t>
      </w:r>
    </w:p>
    <w:p w:rsidR="00831E5E" w:rsidRDefault="00DA547A" w:rsidP="00DA547A">
      <w:pPr>
        <w:pStyle w:val="BodyText"/>
        <w:ind w:left="462"/>
        <w:rPr>
          <w:i/>
        </w:rPr>
      </w:pPr>
      <w:r w:rsidRPr="00DA547A">
        <w:rPr>
          <w:i/>
        </w:rPr>
        <w:t>Vào cuối mỗi công việc, lau hoặc vắt sơn thừa lên một vật liệu hấp thụ như giấy vụn cũ, giấy vụn hoặc hộp các tông.</w:t>
      </w:r>
    </w:p>
    <w:p w:rsidR="00DA547A" w:rsidRPr="00DA547A" w:rsidRDefault="00DA547A" w:rsidP="00DA547A">
      <w:pPr>
        <w:pStyle w:val="BodyText"/>
        <w:ind w:left="462"/>
        <w:rPr>
          <w:i/>
        </w:rPr>
      </w:pPr>
    </w:p>
    <w:p w:rsidR="00831E5E" w:rsidRDefault="008A440C">
      <w:pPr>
        <w:pStyle w:val="ListParagraph"/>
        <w:numPr>
          <w:ilvl w:val="0"/>
          <w:numId w:val="2"/>
        </w:numPr>
        <w:tabs>
          <w:tab w:val="left" w:pos="463"/>
        </w:tabs>
        <w:rPr>
          <w:sz w:val="20"/>
        </w:rPr>
      </w:pPr>
      <w:r>
        <w:rPr>
          <w:sz w:val="20"/>
        </w:rPr>
        <w:t>Allow to the paper (etc.) to dry and dispose of it with your household</w:t>
      </w:r>
      <w:r>
        <w:rPr>
          <w:spacing w:val="-39"/>
          <w:sz w:val="20"/>
        </w:rPr>
        <w:t xml:space="preserve"> </w:t>
      </w:r>
      <w:r>
        <w:rPr>
          <w:sz w:val="20"/>
        </w:rPr>
        <w:t>waste.</w:t>
      </w:r>
    </w:p>
    <w:p w:rsidR="00831E5E" w:rsidRDefault="00D45947">
      <w:pPr>
        <w:pStyle w:val="BodyText"/>
        <w:spacing w:before="9"/>
        <w:rPr>
          <w:i/>
        </w:rPr>
      </w:pPr>
      <w:r>
        <w:rPr>
          <w:i/>
        </w:rPr>
        <w:t xml:space="preserve">        </w:t>
      </w:r>
      <w:r w:rsidRPr="00D45947">
        <w:rPr>
          <w:i/>
        </w:rPr>
        <w:t>Cho phép giấy (vv) để khô và vứ</w:t>
      </w:r>
      <w:r>
        <w:rPr>
          <w:i/>
        </w:rPr>
        <w:t>t nó vào khu vực rác thải sinh hoạt.</w:t>
      </w:r>
    </w:p>
    <w:p w:rsidR="00D45947" w:rsidRPr="00D45947" w:rsidRDefault="00D45947">
      <w:pPr>
        <w:pStyle w:val="BodyText"/>
        <w:spacing w:before="9"/>
        <w:rPr>
          <w:i/>
          <w:sz w:val="18"/>
        </w:rPr>
      </w:pPr>
    </w:p>
    <w:p w:rsidR="00831E5E" w:rsidRDefault="008A440C">
      <w:pPr>
        <w:pStyle w:val="ListParagraph"/>
        <w:numPr>
          <w:ilvl w:val="0"/>
          <w:numId w:val="2"/>
        </w:numPr>
        <w:tabs>
          <w:tab w:val="left" w:pos="463"/>
        </w:tabs>
        <w:rPr>
          <w:sz w:val="20"/>
        </w:rPr>
      </w:pPr>
      <w:r>
        <w:rPr>
          <w:sz w:val="20"/>
        </w:rPr>
        <w:t>Wash</w:t>
      </w:r>
      <w:r>
        <w:rPr>
          <w:spacing w:val="-4"/>
          <w:sz w:val="20"/>
        </w:rPr>
        <w:t xml:space="preserve"> </w:t>
      </w:r>
      <w:r>
        <w:rPr>
          <w:sz w:val="20"/>
        </w:rPr>
        <w:t>brushes</w:t>
      </w:r>
      <w:r>
        <w:rPr>
          <w:spacing w:val="-4"/>
          <w:sz w:val="20"/>
        </w:rPr>
        <w:t xml:space="preserve"> </w:t>
      </w:r>
      <w:r>
        <w:rPr>
          <w:sz w:val="20"/>
        </w:rPr>
        <w:t>and</w:t>
      </w:r>
      <w:r>
        <w:rPr>
          <w:spacing w:val="-4"/>
          <w:sz w:val="20"/>
        </w:rPr>
        <w:t xml:space="preserve"> </w:t>
      </w:r>
      <w:r>
        <w:rPr>
          <w:sz w:val="20"/>
        </w:rPr>
        <w:t>rollers</w:t>
      </w:r>
      <w:r>
        <w:rPr>
          <w:spacing w:val="-4"/>
          <w:sz w:val="20"/>
        </w:rPr>
        <w:t xml:space="preserve"> </w:t>
      </w:r>
      <w:r>
        <w:rPr>
          <w:sz w:val="20"/>
        </w:rPr>
        <w:t>etc.</w:t>
      </w:r>
      <w:r>
        <w:rPr>
          <w:spacing w:val="-4"/>
          <w:sz w:val="20"/>
        </w:rPr>
        <w:t xml:space="preserve"> </w:t>
      </w:r>
      <w:r>
        <w:rPr>
          <w:sz w:val="20"/>
        </w:rPr>
        <w:t>in</w:t>
      </w:r>
      <w:r>
        <w:rPr>
          <w:spacing w:val="-3"/>
          <w:sz w:val="20"/>
        </w:rPr>
        <w:t xml:space="preserve"> </w:t>
      </w:r>
      <w:r>
        <w:rPr>
          <w:sz w:val="20"/>
        </w:rPr>
        <w:t>a</w:t>
      </w:r>
      <w:r>
        <w:rPr>
          <w:spacing w:val="-4"/>
          <w:sz w:val="20"/>
        </w:rPr>
        <w:t xml:space="preserve"> </w:t>
      </w:r>
      <w:r>
        <w:rPr>
          <w:sz w:val="20"/>
        </w:rPr>
        <w:t>20</w:t>
      </w:r>
      <w:r>
        <w:rPr>
          <w:spacing w:val="-3"/>
          <w:sz w:val="20"/>
        </w:rPr>
        <w:t xml:space="preserve"> </w:t>
      </w:r>
      <w:r>
        <w:rPr>
          <w:sz w:val="20"/>
        </w:rPr>
        <w:t>litre</w:t>
      </w:r>
      <w:r>
        <w:rPr>
          <w:spacing w:val="-4"/>
          <w:sz w:val="20"/>
        </w:rPr>
        <w:t xml:space="preserve"> </w:t>
      </w:r>
      <w:r>
        <w:rPr>
          <w:sz w:val="20"/>
        </w:rPr>
        <w:t>or</w:t>
      </w:r>
      <w:r>
        <w:rPr>
          <w:spacing w:val="-4"/>
          <w:sz w:val="20"/>
        </w:rPr>
        <w:t xml:space="preserve"> </w:t>
      </w:r>
      <w:r>
        <w:rPr>
          <w:sz w:val="20"/>
        </w:rPr>
        <w:t>similar</w:t>
      </w:r>
      <w:r>
        <w:rPr>
          <w:spacing w:val="-4"/>
          <w:sz w:val="20"/>
        </w:rPr>
        <w:t xml:space="preserve"> </w:t>
      </w:r>
      <w:r>
        <w:rPr>
          <w:sz w:val="20"/>
        </w:rPr>
        <w:t>sized</w:t>
      </w:r>
      <w:r>
        <w:rPr>
          <w:spacing w:val="-4"/>
          <w:sz w:val="20"/>
        </w:rPr>
        <w:t xml:space="preserve"> </w:t>
      </w:r>
      <w:r>
        <w:rPr>
          <w:sz w:val="20"/>
        </w:rPr>
        <w:t>container</w:t>
      </w:r>
      <w:r>
        <w:rPr>
          <w:spacing w:val="-4"/>
          <w:sz w:val="20"/>
        </w:rPr>
        <w:t xml:space="preserve"> </w:t>
      </w:r>
      <w:r>
        <w:rPr>
          <w:sz w:val="20"/>
        </w:rPr>
        <w:t>(bucket).</w:t>
      </w:r>
    </w:p>
    <w:p w:rsidR="00831E5E" w:rsidRDefault="005640F7">
      <w:pPr>
        <w:pStyle w:val="BodyText"/>
        <w:rPr>
          <w:i/>
        </w:rPr>
      </w:pPr>
      <w:r>
        <w:rPr>
          <w:i/>
        </w:rPr>
        <w:t xml:space="preserve">         </w:t>
      </w:r>
      <w:r w:rsidRPr="005640F7">
        <w:rPr>
          <w:i/>
        </w:rPr>
        <w:t>Rửa chổi và con lăn vv trong thùng 20 lít hoặc thùng có kích thước tương tự (xô).</w:t>
      </w:r>
    </w:p>
    <w:p w:rsidR="005640F7" w:rsidRPr="005640F7" w:rsidRDefault="005640F7">
      <w:pPr>
        <w:pStyle w:val="BodyText"/>
        <w:rPr>
          <w:i/>
          <w:sz w:val="18"/>
        </w:rPr>
      </w:pPr>
    </w:p>
    <w:p w:rsidR="00831E5E" w:rsidRDefault="008A440C">
      <w:pPr>
        <w:pStyle w:val="ListParagraph"/>
        <w:numPr>
          <w:ilvl w:val="0"/>
          <w:numId w:val="2"/>
        </w:numPr>
        <w:tabs>
          <w:tab w:val="left" w:pos="463"/>
        </w:tabs>
        <w:rPr>
          <w:sz w:val="20"/>
        </w:rPr>
      </w:pPr>
      <w:r>
        <w:rPr>
          <w:sz w:val="20"/>
        </w:rPr>
        <w:t>Transfer</w:t>
      </w:r>
      <w:r>
        <w:rPr>
          <w:spacing w:val="-4"/>
          <w:sz w:val="20"/>
        </w:rPr>
        <w:t xml:space="preserve"> </w:t>
      </w:r>
      <w:r>
        <w:rPr>
          <w:sz w:val="20"/>
        </w:rPr>
        <w:t>the</w:t>
      </w:r>
      <w:r>
        <w:rPr>
          <w:spacing w:val="-3"/>
          <w:sz w:val="20"/>
        </w:rPr>
        <w:t xml:space="preserve"> </w:t>
      </w:r>
      <w:r>
        <w:rPr>
          <w:sz w:val="20"/>
        </w:rPr>
        <w:t>washed</w:t>
      </w:r>
      <w:r>
        <w:rPr>
          <w:spacing w:val="-5"/>
          <w:sz w:val="20"/>
        </w:rPr>
        <w:t xml:space="preserve"> </w:t>
      </w:r>
      <w:r>
        <w:rPr>
          <w:sz w:val="20"/>
        </w:rPr>
        <w:t>items</w:t>
      </w:r>
      <w:r>
        <w:rPr>
          <w:spacing w:val="-6"/>
          <w:sz w:val="20"/>
        </w:rPr>
        <w:t xml:space="preserve"> </w:t>
      </w:r>
      <w:r>
        <w:rPr>
          <w:sz w:val="20"/>
        </w:rPr>
        <w:t>to</w:t>
      </w:r>
      <w:r>
        <w:rPr>
          <w:spacing w:val="-5"/>
          <w:sz w:val="20"/>
        </w:rPr>
        <w:t xml:space="preserve"> </w:t>
      </w:r>
      <w:r>
        <w:rPr>
          <w:sz w:val="20"/>
        </w:rPr>
        <w:t>another</w:t>
      </w:r>
      <w:r>
        <w:rPr>
          <w:spacing w:val="-4"/>
          <w:sz w:val="20"/>
        </w:rPr>
        <w:t xml:space="preserve"> </w:t>
      </w:r>
      <w:r>
        <w:rPr>
          <w:sz w:val="20"/>
        </w:rPr>
        <w:t>similar</w:t>
      </w:r>
      <w:r>
        <w:rPr>
          <w:spacing w:val="-4"/>
          <w:sz w:val="20"/>
        </w:rPr>
        <w:t xml:space="preserve"> </w:t>
      </w:r>
      <w:r>
        <w:rPr>
          <w:sz w:val="20"/>
        </w:rPr>
        <w:t>container</w:t>
      </w:r>
      <w:r>
        <w:rPr>
          <w:spacing w:val="-2"/>
          <w:sz w:val="20"/>
        </w:rPr>
        <w:t xml:space="preserve"> </w:t>
      </w:r>
      <w:r>
        <w:rPr>
          <w:sz w:val="20"/>
        </w:rPr>
        <w:t>filled</w:t>
      </w:r>
      <w:r>
        <w:rPr>
          <w:spacing w:val="-3"/>
          <w:sz w:val="20"/>
        </w:rPr>
        <w:t xml:space="preserve"> </w:t>
      </w:r>
      <w:r>
        <w:rPr>
          <w:sz w:val="20"/>
        </w:rPr>
        <w:t>with</w:t>
      </w:r>
      <w:r>
        <w:rPr>
          <w:spacing w:val="-3"/>
          <w:sz w:val="20"/>
        </w:rPr>
        <w:t xml:space="preserve"> </w:t>
      </w:r>
      <w:r>
        <w:rPr>
          <w:sz w:val="20"/>
        </w:rPr>
        <w:t>water</w:t>
      </w:r>
      <w:r>
        <w:rPr>
          <w:spacing w:val="-4"/>
          <w:sz w:val="20"/>
        </w:rPr>
        <w:t xml:space="preserve"> </w:t>
      </w:r>
      <w:r>
        <w:rPr>
          <w:sz w:val="20"/>
        </w:rPr>
        <w:t>for</w:t>
      </w:r>
      <w:r>
        <w:rPr>
          <w:spacing w:val="-4"/>
          <w:sz w:val="20"/>
        </w:rPr>
        <w:t xml:space="preserve"> </w:t>
      </w:r>
      <w:r>
        <w:rPr>
          <w:sz w:val="20"/>
        </w:rPr>
        <w:t>a</w:t>
      </w:r>
      <w:r>
        <w:rPr>
          <w:spacing w:val="-5"/>
          <w:sz w:val="20"/>
        </w:rPr>
        <w:t xml:space="preserve"> </w:t>
      </w:r>
      <w:r>
        <w:rPr>
          <w:sz w:val="20"/>
        </w:rPr>
        <w:t>second</w:t>
      </w:r>
      <w:r>
        <w:rPr>
          <w:spacing w:val="-5"/>
          <w:sz w:val="20"/>
        </w:rPr>
        <w:t xml:space="preserve"> </w:t>
      </w:r>
      <w:r>
        <w:rPr>
          <w:sz w:val="20"/>
        </w:rPr>
        <w:t>rinse.</w:t>
      </w:r>
    </w:p>
    <w:p w:rsidR="00DB2D71" w:rsidRPr="00DB2D71" w:rsidRDefault="00DB2D71" w:rsidP="00DB2D71">
      <w:pPr>
        <w:pStyle w:val="BodyText"/>
        <w:ind w:left="462"/>
        <w:rPr>
          <w:i/>
        </w:rPr>
      </w:pPr>
      <w:r w:rsidRPr="00DB2D71">
        <w:rPr>
          <w:i/>
        </w:rPr>
        <w:t>Chuyển các vật dụng đã rửa vào một bình chứa tương tự khác chứa đầy nước cho lần xả thứ hai.</w:t>
      </w:r>
    </w:p>
    <w:p w:rsidR="00831E5E" w:rsidRDefault="00831E5E">
      <w:pPr>
        <w:pStyle w:val="BodyText"/>
      </w:pPr>
    </w:p>
    <w:p w:rsidR="00831E5E" w:rsidRDefault="008A440C">
      <w:pPr>
        <w:pStyle w:val="ListParagraph"/>
        <w:numPr>
          <w:ilvl w:val="0"/>
          <w:numId w:val="2"/>
        </w:numPr>
        <w:tabs>
          <w:tab w:val="left" w:pos="463"/>
        </w:tabs>
        <w:rPr>
          <w:sz w:val="20"/>
        </w:rPr>
      </w:pPr>
      <w:r>
        <w:rPr>
          <w:sz w:val="20"/>
        </w:rPr>
        <w:t>Place</w:t>
      </w:r>
      <w:r>
        <w:rPr>
          <w:spacing w:val="-3"/>
          <w:sz w:val="20"/>
        </w:rPr>
        <w:t xml:space="preserve"> </w:t>
      </w:r>
      <w:r>
        <w:rPr>
          <w:sz w:val="20"/>
        </w:rPr>
        <w:t>lids</w:t>
      </w:r>
      <w:r>
        <w:rPr>
          <w:spacing w:val="-4"/>
          <w:sz w:val="20"/>
        </w:rPr>
        <w:t xml:space="preserve"> </w:t>
      </w:r>
      <w:r>
        <w:rPr>
          <w:sz w:val="20"/>
        </w:rPr>
        <w:t>on</w:t>
      </w:r>
      <w:r>
        <w:rPr>
          <w:spacing w:val="-5"/>
          <w:sz w:val="20"/>
        </w:rPr>
        <w:t xml:space="preserve"> </w:t>
      </w:r>
      <w:r>
        <w:rPr>
          <w:sz w:val="20"/>
        </w:rPr>
        <w:t>the</w:t>
      </w:r>
      <w:r>
        <w:rPr>
          <w:spacing w:val="-5"/>
          <w:sz w:val="20"/>
        </w:rPr>
        <w:t xml:space="preserve"> </w:t>
      </w:r>
      <w:r>
        <w:rPr>
          <w:sz w:val="20"/>
        </w:rPr>
        <w:t>containers</w:t>
      </w:r>
      <w:r>
        <w:rPr>
          <w:spacing w:val="-4"/>
          <w:sz w:val="20"/>
        </w:rPr>
        <w:t xml:space="preserve"> </w:t>
      </w:r>
      <w:r>
        <w:rPr>
          <w:sz w:val="20"/>
        </w:rPr>
        <w:t>(or</w:t>
      </w:r>
      <w:r>
        <w:rPr>
          <w:spacing w:val="-4"/>
          <w:sz w:val="20"/>
        </w:rPr>
        <w:t xml:space="preserve"> </w:t>
      </w:r>
      <w:r>
        <w:rPr>
          <w:sz w:val="20"/>
        </w:rPr>
        <w:t>cover</w:t>
      </w:r>
      <w:r>
        <w:rPr>
          <w:spacing w:val="-2"/>
          <w:sz w:val="20"/>
        </w:rPr>
        <w:t xml:space="preserve"> </w:t>
      </w:r>
      <w:r>
        <w:rPr>
          <w:sz w:val="20"/>
        </w:rPr>
        <w:t>in</w:t>
      </w:r>
      <w:r>
        <w:rPr>
          <w:spacing w:val="-5"/>
          <w:sz w:val="20"/>
        </w:rPr>
        <w:t xml:space="preserve"> </w:t>
      </w:r>
      <w:r>
        <w:rPr>
          <w:sz w:val="20"/>
        </w:rPr>
        <w:t>some</w:t>
      </w:r>
      <w:r>
        <w:rPr>
          <w:spacing w:val="-5"/>
          <w:sz w:val="20"/>
        </w:rPr>
        <w:t xml:space="preserve"> </w:t>
      </w:r>
      <w:r>
        <w:rPr>
          <w:sz w:val="20"/>
        </w:rPr>
        <w:t>other</w:t>
      </w:r>
      <w:r>
        <w:rPr>
          <w:spacing w:val="-4"/>
          <w:sz w:val="20"/>
        </w:rPr>
        <w:t xml:space="preserve"> </w:t>
      </w:r>
      <w:r>
        <w:rPr>
          <w:sz w:val="20"/>
        </w:rPr>
        <w:t>secure</w:t>
      </w:r>
      <w:r>
        <w:rPr>
          <w:spacing w:val="-5"/>
          <w:sz w:val="20"/>
        </w:rPr>
        <w:t xml:space="preserve"> </w:t>
      </w:r>
      <w:r>
        <w:rPr>
          <w:sz w:val="20"/>
        </w:rPr>
        <w:t>manner)</w:t>
      </w:r>
      <w:r>
        <w:rPr>
          <w:spacing w:val="-4"/>
          <w:sz w:val="20"/>
        </w:rPr>
        <w:t xml:space="preserve"> </w:t>
      </w:r>
      <w:r>
        <w:rPr>
          <w:sz w:val="20"/>
        </w:rPr>
        <w:t>and</w:t>
      </w:r>
      <w:r>
        <w:rPr>
          <w:spacing w:val="-5"/>
          <w:sz w:val="20"/>
        </w:rPr>
        <w:t xml:space="preserve"> </w:t>
      </w:r>
      <w:r>
        <w:rPr>
          <w:sz w:val="20"/>
        </w:rPr>
        <w:t>let</w:t>
      </w:r>
      <w:r>
        <w:rPr>
          <w:spacing w:val="-5"/>
          <w:sz w:val="20"/>
        </w:rPr>
        <w:t xml:space="preserve"> </w:t>
      </w:r>
      <w:r>
        <w:rPr>
          <w:sz w:val="20"/>
        </w:rPr>
        <w:t>stand</w:t>
      </w:r>
      <w:r>
        <w:rPr>
          <w:spacing w:val="-3"/>
          <w:sz w:val="20"/>
        </w:rPr>
        <w:t xml:space="preserve"> </w:t>
      </w:r>
      <w:r>
        <w:rPr>
          <w:sz w:val="20"/>
        </w:rPr>
        <w:t>overnight.</w:t>
      </w:r>
    </w:p>
    <w:p w:rsidR="008B74AF" w:rsidRPr="008B74AF" w:rsidRDefault="008B74AF" w:rsidP="008B74AF">
      <w:pPr>
        <w:pStyle w:val="BodyText"/>
        <w:ind w:left="462"/>
        <w:rPr>
          <w:i/>
        </w:rPr>
      </w:pPr>
      <w:r w:rsidRPr="008B74AF">
        <w:rPr>
          <w:i/>
        </w:rPr>
        <w:t>Đặt nắp đậy vào các thùng chứa (hoặc đậy nắp theo cách an toàn khác) và để yên qua đêm.</w:t>
      </w:r>
    </w:p>
    <w:p w:rsidR="00831E5E" w:rsidRDefault="00831E5E">
      <w:pPr>
        <w:pStyle w:val="BodyText"/>
        <w:spacing w:before="9"/>
        <w:rPr>
          <w:sz w:val="19"/>
        </w:rPr>
      </w:pPr>
    </w:p>
    <w:p w:rsidR="00831E5E" w:rsidRDefault="008A440C">
      <w:pPr>
        <w:pStyle w:val="ListParagraph"/>
        <w:numPr>
          <w:ilvl w:val="0"/>
          <w:numId w:val="2"/>
        </w:numPr>
        <w:tabs>
          <w:tab w:val="left" w:pos="463"/>
        </w:tabs>
        <w:ind w:right="333"/>
        <w:rPr>
          <w:sz w:val="20"/>
        </w:rPr>
      </w:pPr>
      <w:r>
        <w:rPr>
          <w:sz w:val="20"/>
        </w:rPr>
        <w:t>By morning the paint solids in the first container will have settled to the bottom of the container. The clear water from this container may now be poured onto the garden or any grassed or open area where</w:t>
      </w:r>
      <w:r>
        <w:rPr>
          <w:spacing w:val="-3"/>
          <w:sz w:val="20"/>
        </w:rPr>
        <w:t xml:space="preserve"> </w:t>
      </w:r>
      <w:r>
        <w:rPr>
          <w:sz w:val="20"/>
        </w:rPr>
        <w:t>it</w:t>
      </w:r>
      <w:r>
        <w:rPr>
          <w:spacing w:val="-5"/>
          <w:sz w:val="20"/>
        </w:rPr>
        <w:t xml:space="preserve"> </w:t>
      </w:r>
      <w:r>
        <w:rPr>
          <w:sz w:val="20"/>
        </w:rPr>
        <w:t>can</w:t>
      </w:r>
      <w:r>
        <w:rPr>
          <w:spacing w:val="-3"/>
          <w:sz w:val="20"/>
        </w:rPr>
        <w:t xml:space="preserve"> </w:t>
      </w:r>
      <w:r>
        <w:rPr>
          <w:sz w:val="20"/>
        </w:rPr>
        <w:t>be</w:t>
      </w:r>
      <w:r>
        <w:rPr>
          <w:spacing w:val="-3"/>
          <w:sz w:val="20"/>
        </w:rPr>
        <w:t xml:space="preserve"> </w:t>
      </w:r>
      <w:r>
        <w:rPr>
          <w:sz w:val="20"/>
        </w:rPr>
        <w:t>absorbed</w:t>
      </w:r>
      <w:r>
        <w:rPr>
          <w:spacing w:val="-3"/>
          <w:sz w:val="20"/>
        </w:rPr>
        <w:t xml:space="preserve"> </w:t>
      </w:r>
      <w:r>
        <w:rPr>
          <w:sz w:val="20"/>
        </w:rPr>
        <w:t>into</w:t>
      </w:r>
      <w:r>
        <w:rPr>
          <w:spacing w:val="-5"/>
          <w:sz w:val="20"/>
        </w:rPr>
        <w:t xml:space="preserve"> </w:t>
      </w:r>
      <w:r>
        <w:rPr>
          <w:sz w:val="20"/>
        </w:rPr>
        <w:t>the</w:t>
      </w:r>
      <w:r>
        <w:rPr>
          <w:spacing w:val="-5"/>
          <w:sz w:val="20"/>
        </w:rPr>
        <w:t xml:space="preserve"> </w:t>
      </w:r>
      <w:r>
        <w:rPr>
          <w:sz w:val="20"/>
        </w:rPr>
        <w:t>ground.</w:t>
      </w:r>
      <w:r>
        <w:rPr>
          <w:spacing w:val="-5"/>
          <w:sz w:val="20"/>
        </w:rPr>
        <w:t xml:space="preserve"> </w:t>
      </w:r>
      <w:r>
        <w:rPr>
          <w:sz w:val="20"/>
        </w:rPr>
        <w:t>Avoid</w:t>
      </w:r>
      <w:r>
        <w:rPr>
          <w:spacing w:val="-3"/>
          <w:sz w:val="20"/>
        </w:rPr>
        <w:t xml:space="preserve"> </w:t>
      </w:r>
      <w:r>
        <w:rPr>
          <w:sz w:val="20"/>
        </w:rPr>
        <w:t>areas</w:t>
      </w:r>
      <w:r>
        <w:rPr>
          <w:spacing w:val="-4"/>
          <w:sz w:val="20"/>
        </w:rPr>
        <w:t xml:space="preserve"> </w:t>
      </w:r>
      <w:r>
        <w:rPr>
          <w:sz w:val="20"/>
        </w:rPr>
        <w:t>near</w:t>
      </w:r>
      <w:r>
        <w:rPr>
          <w:spacing w:val="-4"/>
          <w:sz w:val="20"/>
        </w:rPr>
        <w:t xml:space="preserve"> </w:t>
      </w:r>
      <w:r>
        <w:rPr>
          <w:sz w:val="20"/>
        </w:rPr>
        <w:t>rivers</w:t>
      </w:r>
      <w:r>
        <w:rPr>
          <w:spacing w:val="-4"/>
          <w:sz w:val="20"/>
        </w:rPr>
        <w:t xml:space="preserve"> </w:t>
      </w:r>
      <w:r>
        <w:rPr>
          <w:sz w:val="20"/>
        </w:rPr>
        <w:t>and</w:t>
      </w:r>
      <w:r>
        <w:rPr>
          <w:spacing w:val="-5"/>
          <w:sz w:val="20"/>
        </w:rPr>
        <w:t xml:space="preserve"> </w:t>
      </w:r>
      <w:r>
        <w:rPr>
          <w:sz w:val="20"/>
        </w:rPr>
        <w:t>lakes.</w:t>
      </w:r>
    </w:p>
    <w:p w:rsidR="008B74AF" w:rsidRPr="008B74AF" w:rsidRDefault="008B74AF" w:rsidP="008B74AF">
      <w:pPr>
        <w:pStyle w:val="BodyText"/>
        <w:ind w:left="462"/>
        <w:rPr>
          <w:i/>
        </w:rPr>
      </w:pPr>
      <w:r w:rsidRPr="008B74AF">
        <w:rPr>
          <w:i/>
        </w:rPr>
        <w:t>Vào buổi sáng, chất rắn sơn trong thùng chứa đầu tiên sẽ lắng xuống đáy thùng chứa. Nước trong vắt từ thùng chứa này bây giờ có thể được đổ vào khu vườn hoặc bất kỳ khu vực cỏ</w:t>
      </w:r>
      <w:r>
        <w:rPr>
          <w:i/>
        </w:rPr>
        <w:t xml:space="preserve"> </w:t>
      </w:r>
      <w:r w:rsidRPr="008B74AF">
        <w:rPr>
          <w:i/>
        </w:rPr>
        <w:t>nào có thể hấp thụ vào đất. Tránh các khu vực gần sông và hồ.</w:t>
      </w:r>
    </w:p>
    <w:p w:rsidR="00831E5E" w:rsidRDefault="00831E5E">
      <w:pPr>
        <w:pStyle w:val="BodyText"/>
      </w:pPr>
    </w:p>
    <w:p w:rsidR="00831E5E" w:rsidRDefault="008A440C">
      <w:pPr>
        <w:pStyle w:val="ListParagraph"/>
        <w:numPr>
          <w:ilvl w:val="0"/>
          <w:numId w:val="2"/>
        </w:numPr>
        <w:tabs>
          <w:tab w:val="left" w:pos="463"/>
        </w:tabs>
        <w:ind w:right="224"/>
        <w:rPr>
          <w:sz w:val="20"/>
        </w:rPr>
      </w:pPr>
      <w:r>
        <w:rPr>
          <w:sz w:val="20"/>
        </w:rPr>
        <w:t>Now you need to dispose of the residue paint solids at the bottom of the first container. Scrape out the bottom of the container onto absorbent material such as old rags, shredded newspapers or cardboard</w:t>
      </w:r>
      <w:r>
        <w:rPr>
          <w:spacing w:val="-3"/>
          <w:sz w:val="20"/>
        </w:rPr>
        <w:t xml:space="preserve"> </w:t>
      </w:r>
      <w:r>
        <w:rPr>
          <w:sz w:val="20"/>
        </w:rPr>
        <w:lastRenderedPageBreak/>
        <w:t>boxes.</w:t>
      </w:r>
      <w:r>
        <w:rPr>
          <w:spacing w:val="-3"/>
          <w:sz w:val="20"/>
        </w:rPr>
        <w:t xml:space="preserve"> </w:t>
      </w:r>
      <w:r>
        <w:rPr>
          <w:sz w:val="20"/>
        </w:rPr>
        <w:t>Allow</w:t>
      </w:r>
      <w:r>
        <w:rPr>
          <w:spacing w:val="-4"/>
          <w:sz w:val="20"/>
        </w:rPr>
        <w:t xml:space="preserve"> </w:t>
      </w:r>
      <w:r>
        <w:rPr>
          <w:sz w:val="20"/>
        </w:rPr>
        <w:t>to</w:t>
      </w:r>
      <w:r>
        <w:rPr>
          <w:spacing w:val="-3"/>
          <w:sz w:val="20"/>
        </w:rPr>
        <w:t xml:space="preserve"> </w:t>
      </w:r>
      <w:r>
        <w:rPr>
          <w:sz w:val="20"/>
        </w:rPr>
        <w:t>dry</w:t>
      </w:r>
      <w:r>
        <w:rPr>
          <w:spacing w:val="-7"/>
          <w:sz w:val="20"/>
        </w:rPr>
        <w:t xml:space="preserve"> </w:t>
      </w:r>
      <w:r>
        <w:rPr>
          <w:sz w:val="20"/>
        </w:rPr>
        <w:t>then</w:t>
      </w:r>
      <w:r>
        <w:rPr>
          <w:spacing w:val="-3"/>
          <w:sz w:val="20"/>
        </w:rPr>
        <w:t xml:space="preserve"> </w:t>
      </w:r>
      <w:r>
        <w:rPr>
          <w:sz w:val="20"/>
        </w:rPr>
        <w:t>place</w:t>
      </w:r>
      <w:r>
        <w:rPr>
          <w:spacing w:val="-4"/>
          <w:sz w:val="20"/>
        </w:rPr>
        <w:t xml:space="preserve"> </w:t>
      </w:r>
      <w:r>
        <w:rPr>
          <w:sz w:val="20"/>
        </w:rPr>
        <w:t>in</w:t>
      </w:r>
      <w:r>
        <w:rPr>
          <w:spacing w:val="-4"/>
          <w:sz w:val="20"/>
        </w:rPr>
        <w:t xml:space="preserve"> </w:t>
      </w:r>
      <w:r>
        <w:rPr>
          <w:sz w:val="20"/>
        </w:rPr>
        <w:t>a</w:t>
      </w:r>
      <w:r>
        <w:rPr>
          <w:spacing w:val="-3"/>
          <w:sz w:val="20"/>
        </w:rPr>
        <w:t xml:space="preserve"> </w:t>
      </w:r>
      <w:r>
        <w:rPr>
          <w:sz w:val="20"/>
        </w:rPr>
        <w:t>plastic</w:t>
      </w:r>
      <w:r>
        <w:rPr>
          <w:spacing w:val="-4"/>
          <w:sz w:val="20"/>
        </w:rPr>
        <w:t xml:space="preserve"> </w:t>
      </w:r>
      <w:r>
        <w:rPr>
          <w:sz w:val="20"/>
        </w:rPr>
        <w:t>bag</w:t>
      </w:r>
      <w:r>
        <w:rPr>
          <w:spacing w:val="-4"/>
          <w:sz w:val="20"/>
        </w:rPr>
        <w:t xml:space="preserve"> </w:t>
      </w:r>
      <w:r>
        <w:rPr>
          <w:sz w:val="20"/>
        </w:rPr>
        <w:t>and</w:t>
      </w:r>
      <w:r>
        <w:rPr>
          <w:spacing w:val="-4"/>
          <w:sz w:val="20"/>
        </w:rPr>
        <w:t xml:space="preserve"> </w:t>
      </w:r>
      <w:r>
        <w:rPr>
          <w:sz w:val="20"/>
        </w:rPr>
        <w:t>dispose</w:t>
      </w:r>
      <w:r>
        <w:rPr>
          <w:spacing w:val="-3"/>
          <w:sz w:val="20"/>
        </w:rPr>
        <w:t xml:space="preserve"> </w:t>
      </w:r>
      <w:r>
        <w:rPr>
          <w:sz w:val="20"/>
        </w:rPr>
        <w:t>of</w:t>
      </w:r>
      <w:r>
        <w:rPr>
          <w:spacing w:val="-3"/>
          <w:sz w:val="20"/>
        </w:rPr>
        <w:t xml:space="preserve"> </w:t>
      </w:r>
      <w:r>
        <w:rPr>
          <w:sz w:val="20"/>
        </w:rPr>
        <w:t>with</w:t>
      </w:r>
      <w:r>
        <w:rPr>
          <w:spacing w:val="-3"/>
          <w:sz w:val="20"/>
        </w:rPr>
        <w:t xml:space="preserve"> </w:t>
      </w:r>
      <w:r>
        <w:rPr>
          <w:sz w:val="20"/>
        </w:rPr>
        <w:t>the</w:t>
      </w:r>
      <w:r>
        <w:rPr>
          <w:spacing w:val="-3"/>
          <w:sz w:val="20"/>
        </w:rPr>
        <w:t xml:space="preserve"> </w:t>
      </w:r>
      <w:r>
        <w:rPr>
          <w:sz w:val="20"/>
        </w:rPr>
        <w:t>household</w:t>
      </w:r>
      <w:r>
        <w:rPr>
          <w:spacing w:val="-3"/>
          <w:sz w:val="20"/>
        </w:rPr>
        <w:t xml:space="preserve"> </w:t>
      </w:r>
      <w:r>
        <w:rPr>
          <w:sz w:val="20"/>
        </w:rPr>
        <w:t>waste</w:t>
      </w:r>
      <w:r>
        <w:rPr>
          <w:spacing w:val="-3"/>
          <w:sz w:val="20"/>
        </w:rPr>
        <w:t xml:space="preserve"> </w:t>
      </w:r>
      <w:r>
        <w:rPr>
          <w:sz w:val="20"/>
        </w:rPr>
        <w:t>or take directly to the nearest council</w:t>
      </w:r>
      <w:r>
        <w:rPr>
          <w:spacing w:val="-25"/>
          <w:sz w:val="20"/>
        </w:rPr>
        <w:t xml:space="preserve"> </w:t>
      </w:r>
      <w:r>
        <w:rPr>
          <w:sz w:val="20"/>
        </w:rPr>
        <w:t>landfill.</w:t>
      </w:r>
    </w:p>
    <w:p w:rsidR="00DD6993" w:rsidRPr="00DD6993" w:rsidRDefault="00DD6993" w:rsidP="00DD6993">
      <w:pPr>
        <w:pStyle w:val="BodyText"/>
        <w:ind w:left="462"/>
        <w:rPr>
          <w:i/>
        </w:rPr>
      </w:pPr>
      <w:r w:rsidRPr="00DD6993">
        <w:rPr>
          <w:i/>
        </w:rPr>
        <w:t>Bây giờ bạn cần vứt bỏ các chất rắn sơn dư ở đáy thùng chứa đầu tiên. Cạo phần đáy của vật chứa vào vật liệu hấp thụ như giấy vụn cũ, giấy vụn hoặc hộ</w:t>
      </w:r>
      <w:r>
        <w:rPr>
          <w:i/>
        </w:rPr>
        <w:t>p các tông. Đ</w:t>
      </w:r>
      <w:r w:rsidRPr="00DD6993">
        <w:rPr>
          <w:i/>
        </w:rPr>
        <w:t>ể khô sau đó đặt trong một túi nhựa và xử lý với các chất thải gia đình hoặc đưa trực tiếp đế</w:t>
      </w:r>
      <w:r w:rsidR="00E7664D">
        <w:rPr>
          <w:i/>
        </w:rPr>
        <w:t>n bãi rác tập trung gần nhất.</w:t>
      </w:r>
    </w:p>
    <w:p w:rsidR="00831E5E" w:rsidRDefault="00831E5E">
      <w:pPr>
        <w:pStyle w:val="BodyText"/>
      </w:pPr>
    </w:p>
    <w:p w:rsidR="00831E5E" w:rsidRDefault="008A440C">
      <w:pPr>
        <w:pStyle w:val="ListParagraph"/>
        <w:numPr>
          <w:ilvl w:val="0"/>
          <w:numId w:val="2"/>
        </w:numPr>
        <w:tabs>
          <w:tab w:val="left" w:pos="463"/>
        </w:tabs>
        <w:ind w:right="555"/>
        <w:rPr>
          <w:sz w:val="20"/>
        </w:rPr>
      </w:pPr>
      <w:r>
        <w:rPr>
          <w:sz w:val="20"/>
        </w:rPr>
        <w:t>If you have more painting to do the second container can now be used as the first wash. Use this rotation system until the job is</w:t>
      </w:r>
      <w:r>
        <w:rPr>
          <w:spacing w:val="-28"/>
          <w:sz w:val="20"/>
        </w:rPr>
        <w:t xml:space="preserve"> </w:t>
      </w:r>
      <w:r>
        <w:rPr>
          <w:sz w:val="20"/>
        </w:rPr>
        <w:t>completed.</w:t>
      </w:r>
    </w:p>
    <w:p w:rsidR="00831E5E" w:rsidRDefault="00831E5E">
      <w:pPr>
        <w:pStyle w:val="BodyText"/>
        <w:rPr>
          <w:sz w:val="22"/>
        </w:rPr>
      </w:pPr>
    </w:p>
    <w:p w:rsidR="00831E5E" w:rsidRDefault="00831E5E">
      <w:pPr>
        <w:pStyle w:val="BodyText"/>
        <w:spacing w:before="7"/>
        <w:rPr>
          <w:sz w:val="17"/>
        </w:rPr>
      </w:pPr>
    </w:p>
    <w:p w:rsidR="0050177E" w:rsidRPr="0050177E" w:rsidRDefault="008A440C" w:rsidP="0050177E">
      <w:pPr>
        <w:pStyle w:val="BodyText"/>
      </w:pPr>
      <w:r w:rsidRPr="0050177E">
        <w:rPr>
          <w:b/>
        </w:rPr>
        <w:t>Solvent-based paints</w:t>
      </w:r>
      <w:r w:rsidR="0050177E">
        <w:t xml:space="preserve">: </w:t>
      </w:r>
      <w:r w:rsidR="0050177E" w:rsidRPr="0050177E">
        <w:t>Sơn dung môi</w:t>
      </w:r>
    </w:p>
    <w:p w:rsidR="00831E5E" w:rsidRDefault="00831E5E">
      <w:pPr>
        <w:pStyle w:val="BodyText"/>
        <w:spacing w:before="2"/>
        <w:rPr>
          <w:b/>
        </w:rPr>
      </w:pPr>
    </w:p>
    <w:p w:rsidR="00831E5E" w:rsidRDefault="008A440C">
      <w:pPr>
        <w:pStyle w:val="BodyText"/>
        <w:spacing w:before="1"/>
        <w:ind w:left="102"/>
      </w:pPr>
      <w:r>
        <w:t>Follow the same procedures as for water-based paints with these exceptions:</w:t>
      </w:r>
    </w:p>
    <w:p w:rsidR="0050177E" w:rsidRPr="0050177E" w:rsidRDefault="0050177E" w:rsidP="0050177E">
      <w:pPr>
        <w:pStyle w:val="BodyText"/>
        <w:rPr>
          <w:i/>
        </w:rPr>
      </w:pPr>
      <w:r>
        <w:rPr>
          <w:sz w:val="22"/>
        </w:rPr>
        <w:t xml:space="preserve">  </w:t>
      </w:r>
      <w:r w:rsidRPr="0050177E">
        <w:rPr>
          <w:i/>
        </w:rPr>
        <w:t>Thực hiện theo các quy trình tương tự như đối với sơn gốc nước với các ngoại lệ sau:</w:t>
      </w:r>
    </w:p>
    <w:p w:rsidR="00831E5E" w:rsidRDefault="00831E5E">
      <w:pPr>
        <w:pStyle w:val="BodyText"/>
        <w:spacing w:before="10"/>
        <w:rPr>
          <w:sz w:val="19"/>
        </w:rPr>
      </w:pPr>
    </w:p>
    <w:p w:rsidR="00831E5E" w:rsidRDefault="008A440C">
      <w:pPr>
        <w:pStyle w:val="ListParagraph"/>
        <w:numPr>
          <w:ilvl w:val="0"/>
          <w:numId w:val="1"/>
        </w:numPr>
        <w:tabs>
          <w:tab w:val="left" w:pos="463"/>
        </w:tabs>
        <w:ind w:right="290"/>
        <w:rPr>
          <w:sz w:val="20"/>
        </w:rPr>
      </w:pPr>
      <w:r>
        <w:rPr>
          <w:sz w:val="20"/>
        </w:rPr>
        <w:t>Use</w:t>
      </w:r>
      <w:r>
        <w:rPr>
          <w:spacing w:val="-5"/>
          <w:sz w:val="20"/>
        </w:rPr>
        <w:t xml:space="preserve"> </w:t>
      </w:r>
      <w:r>
        <w:rPr>
          <w:sz w:val="20"/>
        </w:rPr>
        <w:t>mineral</w:t>
      </w:r>
      <w:r>
        <w:rPr>
          <w:spacing w:val="-6"/>
          <w:sz w:val="20"/>
        </w:rPr>
        <w:t xml:space="preserve"> </w:t>
      </w:r>
      <w:r>
        <w:rPr>
          <w:sz w:val="20"/>
        </w:rPr>
        <w:t>turpentine</w:t>
      </w:r>
      <w:r>
        <w:rPr>
          <w:spacing w:val="-3"/>
          <w:sz w:val="20"/>
        </w:rPr>
        <w:t xml:space="preserve"> </w:t>
      </w:r>
      <w:r>
        <w:rPr>
          <w:sz w:val="20"/>
        </w:rPr>
        <w:t>or</w:t>
      </w:r>
      <w:r>
        <w:rPr>
          <w:spacing w:val="-4"/>
          <w:sz w:val="20"/>
        </w:rPr>
        <w:t xml:space="preserve"> </w:t>
      </w:r>
      <w:r>
        <w:rPr>
          <w:sz w:val="20"/>
        </w:rPr>
        <w:t>another</w:t>
      </w:r>
      <w:r>
        <w:rPr>
          <w:spacing w:val="-4"/>
          <w:sz w:val="20"/>
        </w:rPr>
        <w:t xml:space="preserve"> </w:t>
      </w:r>
      <w:r>
        <w:rPr>
          <w:sz w:val="20"/>
        </w:rPr>
        <w:t>recommended</w:t>
      </w:r>
      <w:r>
        <w:rPr>
          <w:spacing w:val="-5"/>
          <w:sz w:val="20"/>
        </w:rPr>
        <w:t xml:space="preserve"> </w:t>
      </w:r>
      <w:r>
        <w:rPr>
          <w:sz w:val="20"/>
        </w:rPr>
        <w:t>solvent</w:t>
      </w:r>
      <w:r>
        <w:rPr>
          <w:spacing w:val="-5"/>
          <w:sz w:val="20"/>
        </w:rPr>
        <w:t xml:space="preserve"> </w:t>
      </w:r>
      <w:r>
        <w:rPr>
          <w:sz w:val="20"/>
        </w:rPr>
        <w:t>instead</w:t>
      </w:r>
      <w:r>
        <w:rPr>
          <w:spacing w:val="-3"/>
          <w:sz w:val="20"/>
        </w:rPr>
        <w:t xml:space="preserve"> </w:t>
      </w:r>
      <w:r>
        <w:rPr>
          <w:sz w:val="20"/>
        </w:rPr>
        <w:t>of</w:t>
      </w:r>
      <w:r>
        <w:rPr>
          <w:spacing w:val="-3"/>
          <w:sz w:val="20"/>
        </w:rPr>
        <w:t xml:space="preserve"> </w:t>
      </w:r>
      <w:r>
        <w:rPr>
          <w:sz w:val="20"/>
        </w:rPr>
        <w:t>water</w:t>
      </w:r>
      <w:r>
        <w:rPr>
          <w:spacing w:val="-4"/>
          <w:sz w:val="20"/>
        </w:rPr>
        <w:t xml:space="preserve"> </w:t>
      </w:r>
      <w:r>
        <w:rPr>
          <w:sz w:val="20"/>
        </w:rPr>
        <w:t>to</w:t>
      </w:r>
      <w:r>
        <w:rPr>
          <w:spacing w:val="-5"/>
          <w:sz w:val="20"/>
        </w:rPr>
        <w:t xml:space="preserve"> </w:t>
      </w:r>
      <w:r>
        <w:rPr>
          <w:sz w:val="20"/>
        </w:rPr>
        <w:t>clean</w:t>
      </w:r>
      <w:r>
        <w:rPr>
          <w:spacing w:val="-3"/>
          <w:sz w:val="20"/>
        </w:rPr>
        <w:t xml:space="preserve"> </w:t>
      </w:r>
      <w:r>
        <w:rPr>
          <w:sz w:val="20"/>
        </w:rPr>
        <w:t>your</w:t>
      </w:r>
      <w:r>
        <w:rPr>
          <w:spacing w:val="-2"/>
          <w:sz w:val="20"/>
        </w:rPr>
        <w:t xml:space="preserve"> </w:t>
      </w:r>
      <w:r>
        <w:rPr>
          <w:sz w:val="20"/>
        </w:rPr>
        <w:t>brushes</w:t>
      </w:r>
      <w:r>
        <w:rPr>
          <w:spacing w:val="-4"/>
          <w:sz w:val="20"/>
        </w:rPr>
        <w:t xml:space="preserve"> </w:t>
      </w:r>
      <w:r>
        <w:rPr>
          <w:sz w:val="20"/>
        </w:rPr>
        <w:t>and rollers</w:t>
      </w:r>
      <w:r>
        <w:rPr>
          <w:spacing w:val="-8"/>
          <w:sz w:val="20"/>
        </w:rPr>
        <w:t xml:space="preserve"> </w:t>
      </w:r>
      <w:r>
        <w:rPr>
          <w:sz w:val="20"/>
        </w:rPr>
        <w:t>etc.</w:t>
      </w:r>
    </w:p>
    <w:p w:rsidR="00884725" w:rsidRPr="00884725" w:rsidRDefault="00884725" w:rsidP="00884725">
      <w:pPr>
        <w:pStyle w:val="BodyText"/>
        <w:ind w:left="462"/>
        <w:rPr>
          <w:i/>
        </w:rPr>
      </w:pPr>
      <w:r w:rsidRPr="00884725">
        <w:rPr>
          <w:i/>
        </w:rPr>
        <w:t>Sử dụng nhựa thông khoáng hoặ</w:t>
      </w:r>
      <w:r>
        <w:rPr>
          <w:i/>
        </w:rPr>
        <w:t xml:space="preserve">c dung môi </w:t>
      </w:r>
      <w:r w:rsidRPr="00884725">
        <w:rPr>
          <w:i/>
        </w:rPr>
        <w:t xml:space="preserve"> khác thay vì nước để làm sạch bàn chải và con lăn của bạn, v.v.</w:t>
      </w:r>
    </w:p>
    <w:p w:rsidR="00831E5E" w:rsidRDefault="00831E5E">
      <w:pPr>
        <w:pStyle w:val="BodyText"/>
      </w:pPr>
    </w:p>
    <w:p w:rsidR="00831E5E" w:rsidRDefault="008A440C">
      <w:pPr>
        <w:pStyle w:val="ListParagraph"/>
        <w:numPr>
          <w:ilvl w:val="0"/>
          <w:numId w:val="1"/>
        </w:numPr>
        <w:tabs>
          <w:tab w:val="left" w:pos="463"/>
        </w:tabs>
        <w:ind w:right="569"/>
        <w:rPr>
          <w:sz w:val="20"/>
        </w:rPr>
      </w:pPr>
      <w:r>
        <w:rPr>
          <w:sz w:val="20"/>
        </w:rPr>
        <w:t>Allow</w:t>
      </w:r>
      <w:r>
        <w:rPr>
          <w:spacing w:val="-6"/>
          <w:sz w:val="20"/>
        </w:rPr>
        <w:t xml:space="preserve"> </w:t>
      </w:r>
      <w:r>
        <w:rPr>
          <w:sz w:val="20"/>
        </w:rPr>
        <w:t>the</w:t>
      </w:r>
      <w:r>
        <w:rPr>
          <w:spacing w:val="-4"/>
          <w:sz w:val="20"/>
        </w:rPr>
        <w:t xml:space="preserve"> </w:t>
      </w:r>
      <w:r>
        <w:rPr>
          <w:sz w:val="20"/>
        </w:rPr>
        <w:t>first</w:t>
      </w:r>
      <w:r>
        <w:rPr>
          <w:spacing w:val="-4"/>
          <w:sz w:val="20"/>
        </w:rPr>
        <w:t xml:space="preserve"> </w:t>
      </w:r>
      <w:r>
        <w:rPr>
          <w:sz w:val="20"/>
        </w:rPr>
        <w:t>container</w:t>
      </w:r>
      <w:r>
        <w:rPr>
          <w:spacing w:val="-3"/>
          <w:sz w:val="20"/>
        </w:rPr>
        <w:t xml:space="preserve"> </w:t>
      </w:r>
      <w:r>
        <w:rPr>
          <w:sz w:val="20"/>
        </w:rPr>
        <w:t>to</w:t>
      </w:r>
      <w:r>
        <w:rPr>
          <w:spacing w:val="-4"/>
          <w:sz w:val="20"/>
        </w:rPr>
        <w:t xml:space="preserve"> </w:t>
      </w:r>
      <w:r>
        <w:rPr>
          <w:sz w:val="20"/>
        </w:rPr>
        <w:t>stand</w:t>
      </w:r>
      <w:r>
        <w:rPr>
          <w:spacing w:val="-4"/>
          <w:sz w:val="20"/>
        </w:rPr>
        <w:t xml:space="preserve"> </w:t>
      </w:r>
      <w:r>
        <w:rPr>
          <w:sz w:val="20"/>
        </w:rPr>
        <w:t>for</w:t>
      </w:r>
      <w:r>
        <w:rPr>
          <w:spacing w:val="-3"/>
          <w:sz w:val="20"/>
        </w:rPr>
        <w:t xml:space="preserve"> </w:t>
      </w:r>
      <w:r>
        <w:rPr>
          <w:sz w:val="20"/>
        </w:rPr>
        <w:t>at</w:t>
      </w:r>
      <w:r>
        <w:rPr>
          <w:spacing w:val="-2"/>
          <w:sz w:val="20"/>
        </w:rPr>
        <w:t xml:space="preserve"> </w:t>
      </w:r>
      <w:r>
        <w:rPr>
          <w:sz w:val="20"/>
        </w:rPr>
        <w:t>least</w:t>
      </w:r>
      <w:r>
        <w:rPr>
          <w:spacing w:val="-4"/>
          <w:sz w:val="20"/>
        </w:rPr>
        <w:t xml:space="preserve"> </w:t>
      </w:r>
      <w:r>
        <w:rPr>
          <w:sz w:val="20"/>
        </w:rPr>
        <w:t>24</w:t>
      </w:r>
      <w:r>
        <w:rPr>
          <w:spacing w:val="-2"/>
          <w:sz w:val="20"/>
        </w:rPr>
        <w:t xml:space="preserve"> </w:t>
      </w:r>
      <w:r>
        <w:rPr>
          <w:sz w:val="20"/>
        </w:rPr>
        <w:t>hours</w:t>
      </w:r>
      <w:r>
        <w:rPr>
          <w:spacing w:val="-3"/>
          <w:sz w:val="20"/>
        </w:rPr>
        <w:t xml:space="preserve"> </w:t>
      </w:r>
      <w:r>
        <w:rPr>
          <w:sz w:val="20"/>
        </w:rPr>
        <w:t>as</w:t>
      </w:r>
      <w:r>
        <w:rPr>
          <w:spacing w:val="-3"/>
          <w:sz w:val="20"/>
        </w:rPr>
        <w:t xml:space="preserve"> </w:t>
      </w:r>
      <w:r>
        <w:rPr>
          <w:sz w:val="20"/>
        </w:rPr>
        <w:t>it</w:t>
      </w:r>
      <w:r>
        <w:rPr>
          <w:spacing w:val="-2"/>
          <w:sz w:val="20"/>
        </w:rPr>
        <w:t xml:space="preserve"> </w:t>
      </w:r>
      <w:r>
        <w:rPr>
          <w:sz w:val="20"/>
        </w:rPr>
        <w:t>will</w:t>
      </w:r>
      <w:r>
        <w:rPr>
          <w:spacing w:val="-2"/>
          <w:sz w:val="20"/>
        </w:rPr>
        <w:t xml:space="preserve"> </w:t>
      </w:r>
      <w:r>
        <w:rPr>
          <w:sz w:val="20"/>
        </w:rPr>
        <w:t>take</w:t>
      </w:r>
      <w:r>
        <w:rPr>
          <w:spacing w:val="-4"/>
          <w:sz w:val="20"/>
        </w:rPr>
        <w:t xml:space="preserve"> </w:t>
      </w:r>
      <w:r>
        <w:rPr>
          <w:sz w:val="20"/>
        </w:rPr>
        <w:t>this long</w:t>
      </w:r>
      <w:r>
        <w:rPr>
          <w:spacing w:val="-4"/>
          <w:sz w:val="20"/>
        </w:rPr>
        <w:t xml:space="preserve"> </w:t>
      </w:r>
      <w:r>
        <w:rPr>
          <w:sz w:val="20"/>
        </w:rPr>
        <w:t>for</w:t>
      </w:r>
      <w:r>
        <w:rPr>
          <w:spacing w:val="-3"/>
          <w:sz w:val="20"/>
        </w:rPr>
        <w:t xml:space="preserve"> </w:t>
      </w:r>
      <w:r>
        <w:rPr>
          <w:sz w:val="20"/>
        </w:rPr>
        <w:t>the</w:t>
      </w:r>
      <w:r>
        <w:rPr>
          <w:spacing w:val="-2"/>
          <w:sz w:val="20"/>
        </w:rPr>
        <w:t xml:space="preserve"> </w:t>
      </w:r>
      <w:r>
        <w:rPr>
          <w:sz w:val="20"/>
        </w:rPr>
        <w:t>paint</w:t>
      </w:r>
      <w:r>
        <w:rPr>
          <w:spacing w:val="-4"/>
          <w:sz w:val="20"/>
        </w:rPr>
        <w:t xml:space="preserve"> </w:t>
      </w:r>
      <w:r>
        <w:rPr>
          <w:sz w:val="20"/>
        </w:rPr>
        <w:t>solids</w:t>
      </w:r>
      <w:r>
        <w:rPr>
          <w:spacing w:val="-3"/>
          <w:sz w:val="20"/>
        </w:rPr>
        <w:t xml:space="preserve"> </w:t>
      </w:r>
      <w:r>
        <w:rPr>
          <w:sz w:val="20"/>
        </w:rPr>
        <w:t>to settle and give a clear solvent</w:t>
      </w:r>
      <w:r>
        <w:rPr>
          <w:spacing w:val="-24"/>
          <w:sz w:val="20"/>
        </w:rPr>
        <w:t xml:space="preserve"> </w:t>
      </w:r>
      <w:r>
        <w:rPr>
          <w:sz w:val="20"/>
        </w:rPr>
        <w:t>above.</w:t>
      </w:r>
    </w:p>
    <w:p w:rsidR="00884725" w:rsidRPr="00884725" w:rsidRDefault="00884725" w:rsidP="00884725">
      <w:pPr>
        <w:pStyle w:val="BodyText"/>
        <w:ind w:left="462"/>
        <w:rPr>
          <w:i/>
        </w:rPr>
      </w:pPr>
      <w:r w:rsidRPr="00884725">
        <w:rPr>
          <w:i/>
        </w:rPr>
        <w:t>Để thùng chứa đầu tiên đứng trong ít nhất 24 giờ vì sẽ mất nhiều thời gian để chất rắn sơn lắng xuố</w:t>
      </w:r>
      <w:r w:rsidR="00531318">
        <w:rPr>
          <w:i/>
        </w:rPr>
        <w:t>ng và cho dung môi nổi lên trên.</w:t>
      </w:r>
    </w:p>
    <w:p w:rsidR="00831E5E" w:rsidRDefault="00831E5E">
      <w:pPr>
        <w:pStyle w:val="BodyText"/>
        <w:spacing w:before="9"/>
        <w:rPr>
          <w:sz w:val="19"/>
        </w:rPr>
      </w:pPr>
    </w:p>
    <w:p w:rsidR="00831E5E" w:rsidRDefault="008A440C">
      <w:pPr>
        <w:pStyle w:val="ListParagraph"/>
        <w:numPr>
          <w:ilvl w:val="0"/>
          <w:numId w:val="1"/>
        </w:numPr>
        <w:tabs>
          <w:tab w:val="left" w:pos="463"/>
        </w:tabs>
        <w:ind w:right="266"/>
        <w:rPr>
          <w:sz w:val="20"/>
        </w:rPr>
      </w:pPr>
      <w:r>
        <w:rPr>
          <w:sz w:val="20"/>
        </w:rPr>
        <w:t>Do</w:t>
      </w:r>
      <w:r>
        <w:rPr>
          <w:spacing w:val="-3"/>
          <w:sz w:val="20"/>
        </w:rPr>
        <w:t xml:space="preserve"> </w:t>
      </w:r>
      <w:r>
        <w:rPr>
          <w:sz w:val="20"/>
        </w:rPr>
        <w:t>not</w:t>
      </w:r>
      <w:r>
        <w:rPr>
          <w:spacing w:val="-3"/>
          <w:sz w:val="20"/>
        </w:rPr>
        <w:t xml:space="preserve"> </w:t>
      </w:r>
      <w:r>
        <w:rPr>
          <w:sz w:val="20"/>
        </w:rPr>
        <w:t>pour</w:t>
      </w:r>
      <w:r>
        <w:rPr>
          <w:spacing w:val="-2"/>
          <w:sz w:val="20"/>
        </w:rPr>
        <w:t xml:space="preserve"> </w:t>
      </w:r>
      <w:r>
        <w:rPr>
          <w:sz w:val="20"/>
        </w:rPr>
        <w:t>the</w:t>
      </w:r>
      <w:r>
        <w:rPr>
          <w:spacing w:val="-3"/>
          <w:sz w:val="20"/>
        </w:rPr>
        <w:t xml:space="preserve"> </w:t>
      </w:r>
      <w:r>
        <w:rPr>
          <w:sz w:val="20"/>
        </w:rPr>
        <w:t>clear</w:t>
      </w:r>
      <w:r>
        <w:rPr>
          <w:spacing w:val="-2"/>
          <w:sz w:val="20"/>
        </w:rPr>
        <w:t xml:space="preserve"> </w:t>
      </w:r>
      <w:r>
        <w:rPr>
          <w:sz w:val="20"/>
        </w:rPr>
        <w:t>solvent</w:t>
      </w:r>
      <w:r>
        <w:rPr>
          <w:spacing w:val="-3"/>
          <w:sz w:val="20"/>
        </w:rPr>
        <w:t xml:space="preserve"> </w:t>
      </w:r>
      <w:r>
        <w:rPr>
          <w:sz w:val="20"/>
        </w:rPr>
        <w:t>onto</w:t>
      </w:r>
      <w:r>
        <w:rPr>
          <w:spacing w:val="-3"/>
          <w:sz w:val="20"/>
        </w:rPr>
        <w:t xml:space="preserve"> </w:t>
      </w:r>
      <w:r>
        <w:rPr>
          <w:sz w:val="20"/>
        </w:rPr>
        <w:t>the</w:t>
      </w:r>
      <w:r>
        <w:rPr>
          <w:spacing w:val="-3"/>
          <w:sz w:val="20"/>
        </w:rPr>
        <w:t xml:space="preserve"> </w:t>
      </w:r>
      <w:r>
        <w:rPr>
          <w:sz w:val="20"/>
        </w:rPr>
        <w:t>ground</w:t>
      </w:r>
      <w:r>
        <w:rPr>
          <w:spacing w:val="-3"/>
          <w:sz w:val="20"/>
        </w:rPr>
        <w:t xml:space="preserve"> </w:t>
      </w:r>
      <w:r>
        <w:rPr>
          <w:sz w:val="20"/>
        </w:rPr>
        <w:t>-</w:t>
      </w:r>
      <w:r>
        <w:rPr>
          <w:spacing w:val="-2"/>
          <w:sz w:val="20"/>
        </w:rPr>
        <w:t xml:space="preserve"> </w:t>
      </w:r>
      <w:r>
        <w:rPr>
          <w:sz w:val="20"/>
        </w:rPr>
        <w:t>use</w:t>
      </w:r>
      <w:r>
        <w:rPr>
          <w:spacing w:val="-1"/>
          <w:sz w:val="20"/>
        </w:rPr>
        <w:t xml:space="preserve"> </w:t>
      </w:r>
      <w:r>
        <w:rPr>
          <w:sz w:val="20"/>
        </w:rPr>
        <w:t>it</w:t>
      </w:r>
      <w:r>
        <w:rPr>
          <w:spacing w:val="-3"/>
          <w:sz w:val="20"/>
        </w:rPr>
        <w:t xml:space="preserve"> </w:t>
      </w:r>
      <w:r>
        <w:rPr>
          <w:sz w:val="20"/>
        </w:rPr>
        <w:t>to</w:t>
      </w:r>
      <w:r>
        <w:rPr>
          <w:spacing w:val="-3"/>
          <w:sz w:val="20"/>
        </w:rPr>
        <w:t xml:space="preserve"> </w:t>
      </w:r>
      <w:r>
        <w:rPr>
          <w:sz w:val="20"/>
        </w:rPr>
        <w:t>top</w:t>
      </w:r>
      <w:r>
        <w:rPr>
          <w:spacing w:val="-1"/>
          <w:sz w:val="20"/>
        </w:rPr>
        <w:t xml:space="preserve"> </w:t>
      </w:r>
      <w:r>
        <w:rPr>
          <w:sz w:val="20"/>
        </w:rPr>
        <w:t>up</w:t>
      </w:r>
      <w:r>
        <w:rPr>
          <w:spacing w:val="-1"/>
          <w:sz w:val="20"/>
        </w:rPr>
        <w:t xml:space="preserve"> </w:t>
      </w:r>
      <w:r>
        <w:rPr>
          <w:sz w:val="20"/>
        </w:rPr>
        <w:t>the</w:t>
      </w:r>
      <w:r>
        <w:rPr>
          <w:spacing w:val="-3"/>
          <w:sz w:val="20"/>
        </w:rPr>
        <w:t xml:space="preserve"> </w:t>
      </w:r>
      <w:r>
        <w:rPr>
          <w:sz w:val="20"/>
        </w:rPr>
        <w:t>second</w:t>
      </w:r>
      <w:r>
        <w:rPr>
          <w:spacing w:val="-3"/>
          <w:sz w:val="20"/>
        </w:rPr>
        <w:t xml:space="preserve"> </w:t>
      </w:r>
      <w:r>
        <w:rPr>
          <w:sz w:val="20"/>
        </w:rPr>
        <w:t>container</w:t>
      </w:r>
      <w:r>
        <w:rPr>
          <w:spacing w:val="-2"/>
          <w:sz w:val="20"/>
        </w:rPr>
        <w:t xml:space="preserve"> </w:t>
      </w:r>
      <w:r>
        <w:rPr>
          <w:sz w:val="20"/>
        </w:rPr>
        <w:t>or</w:t>
      </w:r>
      <w:r>
        <w:rPr>
          <w:spacing w:val="-2"/>
          <w:sz w:val="20"/>
        </w:rPr>
        <w:t xml:space="preserve"> </w:t>
      </w:r>
      <w:r>
        <w:rPr>
          <w:sz w:val="20"/>
        </w:rPr>
        <w:t>decant</w:t>
      </w:r>
      <w:r>
        <w:rPr>
          <w:spacing w:val="-1"/>
          <w:sz w:val="20"/>
        </w:rPr>
        <w:t xml:space="preserve"> </w:t>
      </w:r>
      <w:r>
        <w:rPr>
          <w:sz w:val="20"/>
        </w:rPr>
        <w:t>it</w:t>
      </w:r>
      <w:r>
        <w:rPr>
          <w:spacing w:val="-3"/>
          <w:sz w:val="20"/>
        </w:rPr>
        <w:t xml:space="preserve"> </w:t>
      </w:r>
      <w:r>
        <w:rPr>
          <w:sz w:val="20"/>
        </w:rPr>
        <w:t>and keep for future</w:t>
      </w:r>
      <w:r>
        <w:rPr>
          <w:spacing w:val="-14"/>
          <w:sz w:val="20"/>
        </w:rPr>
        <w:t xml:space="preserve"> </w:t>
      </w:r>
      <w:r>
        <w:rPr>
          <w:sz w:val="20"/>
        </w:rPr>
        <w:t>use.</w:t>
      </w:r>
    </w:p>
    <w:p w:rsidR="0068148C" w:rsidRDefault="0068148C">
      <w:pPr>
        <w:rPr>
          <w:sz w:val="20"/>
        </w:rPr>
      </w:pPr>
    </w:p>
    <w:p w:rsidR="0068148C" w:rsidRPr="0068148C" w:rsidRDefault="0068148C" w:rsidP="0068148C">
      <w:pPr>
        <w:pStyle w:val="BodyText"/>
        <w:rPr>
          <w:i/>
        </w:rPr>
      </w:pPr>
      <w:r>
        <w:rPr>
          <w:i/>
        </w:rPr>
        <w:t xml:space="preserve">        </w:t>
      </w:r>
      <w:r w:rsidRPr="0068148C">
        <w:rPr>
          <w:i/>
        </w:rPr>
        <w:t>Không đổ dung môi trong suốt lên mặt đất - sử dụng nó để nạp lên thùng thứ hai hoặ</w:t>
      </w:r>
      <w:r>
        <w:rPr>
          <w:i/>
        </w:rPr>
        <w:t xml:space="preserve">c cất giữ và giữ </w:t>
      </w:r>
      <w:r w:rsidRPr="0068148C">
        <w:rPr>
          <w:i/>
        </w:rPr>
        <w:t xml:space="preserve">cho </w:t>
      </w:r>
      <w:r>
        <w:rPr>
          <w:i/>
        </w:rPr>
        <w:t xml:space="preserve">lần </w:t>
      </w:r>
      <w:r w:rsidRPr="0068148C">
        <w:rPr>
          <w:i/>
        </w:rPr>
        <w:t>sử dụng trong tương lai.</w:t>
      </w:r>
    </w:p>
    <w:p w:rsidR="00831E5E" w:rsidRDefault="008A440C">
      <w:pPr>
        <w:pStyle w:val="Heading1"/>
        <w:spacing w:before="93"/>
        <w:ind w:left="302"/>
      </w:pPr>
      <w:r>
        <w:t>Caution</w:t>
      </w:r>
      <w:r w:rsidR="00641552">
        <w:t>: Thận trọng</w:t>
      </w:r>
    </w:p>
    <w:p w:rsidR="00831E5E" w:rsidRDefault="00831E5E">
      <w:pPr>
        <w:pStyle w:val="BodyText"/>
        <w:spacing w:before="2"/>
        <w:rPr>
          <w:b/>
        </w:rPr>
      </w:pPr>
    </w:p>
    <w:p w:rsidR="00831E5E" w:rsidRDefault="008A440C">
      <w:pPr>
        <w:pStyle w:val="BodyText"/>
        <w:spacing w:before="1"/>
        <w:ind w:left="302" w:right="602"/>
      </w:pPr>
      <w:r>
        <w:t>Never allow waste or chemical solvents from washed paint equipment to enter household or storm water drains or sewers. The waste may find its way into the natural waterways where it can reduce Oxygen levels and threaten the survival of fish and other aquatic organisms.</w:t>
      </w:r>
    </w:p>
    <w:p w:rsidR="00247678" w:rsidRPr="00247678" w:rsidRDefault="00247678" w:rsidP="00247678">
      <w:pPr>
        <w:pStyle w:val="BodyText"/>
        <w:rPr>
          <w:i/>
        </w:rPr>
      </w:pPr>
      <w:r>
        <w:rPr>
          <w:sz w:val="22"/>
        </w:rPr>
        <w:t xml:space="preserve">    </w:t>
      </w:r>
      <w:r w:rsidRPr="00247678">
        <w:rPr>
          <w:i/>
        </w:rPr>
        <w:t>Không bao giờ cho phép các chất thải hoặc dung môi hóa học từ các thiết bị sơn đượ</w:t>
      </w:r>
      <w:r>
        <w:rPr>
          <w:i/>
        </w:rPr>
        <w:t>c được xả</w:t>
      </w:r>
      <w:r w:rsidRPr="00247678">
        <w:rPr>
          <w:i/>
        </w:rPr>
        <w:t xml:space="preserve"> vào cống thoát nước hoặc cống rãnh của hộ gia đình hoặc nước mưa. Chất thải có thể tìm đường vào các đườ</w:t>
      </w:r>
      <w:r>
        <w:rPr>
          <w:i/>
        </w:rPr>
        <w:t>ng nước</w:t>
      </w:r>
      <w:r w:rsidRPr="00247678">
        <w:rPr>
          <w:i/>
        </w:rPr>
        <w:t xml:space="preserve"> tự nhiên, nơi nó có thể làm giảm mức ôxy và đe dọa sự tồn tại của cá và các sinh vật dưới nước khác.</w:t>
      </w:r>
    </w:p>
    <w:p w:rsidR="00831E5E" w:rsidRDefault="00831E5E">
      <w:pPr>
        <w:pStyle w:val="BodyText"/>
        <w:rPr>
          <w:sz w:val="22"/>
        </w:rPr>
      </w:pPr>
    </w:p>
    <w:p w:rsidR="00831E5E" w:rsidRDefault="00831E5E">
      <w:pPr>
        <w:pStyle w:val="BodyText"/>
        <w:spacing w:before="8"/>
        <w:rPr>
          <w:sz w:val="17"/>
        </w:rPr>
      </w:pPr>
    </w:p>
    <w:p w:rsidR="00641552" w:rsidRPr="00F56F98" w:rsidRDefault="008A440C" w:rsidP="00641552">
      <w:pPr>
        <w:pStyle w:val="BodyText"/>
        <w:rPr>
          <w:sz w:val="22"/>
        </w:rPr>
      </w:pPr>
      <w:r w:rsidRPr="00641552">
        <w:rPr>
          <w:sz w:val="22"/>
        </w:rPr>
        <w:t>Planning Ahead</w:t>
      </w:r>
      <w:r w:rsidR="00641552" w:rsidRPr="00641552">
        <w:rPr>
          <w:b/>
          <w:sz w:val="22"/>
        </w:rPr>
        <w:t xml:space="preserve"> :</w:t>
      </w:r>
      <w:r w:rsidR="00641552" w:rsidRPr="00641552">
        <w:rPr>
          <w:sz w:val="22"/>
        </w:rPr>
        <w:t xml:space="preserve"> </w:t>
      </w:r>
      <w:r w:rsidR="00641552" w:rsidRPr="00F56F98">
        <w:rPr>
          <w:sz w:val="22"/>
        </w:rPr>
        <w:t>Lập kế hoạch trước</w:t>
      </w:r>
    </w:p>
    <w:p w:rsidR="00831E5E" w:rsidRDefault="00831E5E">
      <w:pPr>
        <w:pStyle w:val="BodyText"/>
        <w:spacing w:before="3"/>
        <w:rPr>
          <w:b/>
        </w:rPr>
      </w:pPr>
    </w:p>
    <w:p w:rsidR="00831E5E" w:rsidRDefault="008A440C">
      <w:pPr>
        <w:pStyle w:val="BodyText"/>
        <w:ind w:left="302" w:right="690"/>
      </w:pPr>
      <w:r>
        <w:t>It’s a good idea to keep a container of “dirty turps” on hand for cleaning purposes. Kept in a secure container in a safe place you will be able to reuse the solvent time and time again. But remember not to shake it up as this will disturb the paint solids which will have settled to the bottom of the container.</w:t>
      </w:r>
    </w:p>
    <w:p w:rsidR="00641552" w:rsidRDefault="00641552" w:rsidP="00641552">
      <w:pPr>
        <w:pStyle w:val="BodyText"/>
        <w:rPr>
          <w:i/>
        </w:rPr>
      </w:pPr>
      <w:r>
        <w:rPr>
          <w:i/>
        </w:rPr>
        <w:t xml:space="preserve">     </w:t>
      </w:r>
    </w:p>
    <w:p w:rsidR="00641552" w:rsidRPr="00641552" w:rsidRDefault="00641552" w:rsidP="00641552">
      <w:pPr>
        <w:pStyle w:val="BodyText"/>
        <w:rPr>
          <w:i/>
        </w:rPr>
      </w:pPr>
      <w:r w:rsidRPr="00641552">
        <w:rPr>
          <w:i/>
        </w:rPr>
        <w:t>Bạn nên giữ một thùng chứa "turps bẩn" trên tay để làm sạch. Lưu trữ trong một thùng chứa an toàn ở một nơi an toàn, bạn sẽ có thể tái sử dụng dung môi thời gian và thời gian một lần nữa. Nhưng hãy nhớ không lắc nó lên vì điều này sẽ làm xáo trộn chất rắn sơn sẽ lắng xuống đáy thùng chứa.</w:t>
      </w:r>
    </w:p>
    <w:p w:rsidR="00831E5E" w:rsidRDefault="00831E5E">
      <w:pPr>
        <w:pStyle w:val="BodyText"/>
        <w:rPr>
          <w:sz w:val="22"/>
        </w:rPr>
      </w:pPr>
    </w:p>
    <w:p w:rsidR="00831E5E" w:rsidRDefault="00831E5E">
      <w:pPr>
        <w:pStyle w:val="BodyText"/>
        <w:spacing w:before="10"/>
        <w:rPr>
          <w:sz w:val="17"/>
        </w:rPr>
      </w:pPr>
    </w:p>
    <w:p w:rsidR="002A2E27" w:rsidRPr="00F56F98" w:rsidRDefault="008A440C" w:rsidP="002A2E27">
      <w:pPr>
        <w:pStyle w:val="BodyText"/>
        <w:rPr>
          <w:sz w:val="22"/>
        </w:rPr>
      </w:pPr>
      <w:r w:rsidRPr="002A2E27">
        <w:rPr>
          <w:b/>
        </w:rPr>
        <w:t>Tip for Dealing with Spills</w:t>
      </w:r>
      <w:r w:rsidR="002A2E27" w:rsidRPr="002A2E27">
        <w:rPr>
          <w:b/>
        </w:rPr>
        <w:t xml:space="preserve"> :</w:t>
      </w:r>
      <w:r w:rsidR="002A2E27">
        <w:t xml:space="preserve"> </w:t>
      </w:r>
      <w:r w:rsidR="002A2E27" w:rsidRPr="00F56F98">
        <w:rPr>
          <w:sz w:val="22"/>
        </w:rPr>
        <w:t>Mẹo để xử lý sự cố tràn</w:t>
      </w:r>
    </w:p>
    <w:p w:rsidR="00831E5E" w:rsidRDefault="00831E5E">
      <w:pPr>
        <w:pStyle w:val="Heading1"/>
        <w:ind w:left="302"/>
      </w:pPr>
    </w:p>
    <w:p w:rsidR="00831E5E" w:rsidRDefault="00831E5E">
      <w:pPr>
        <w:pStyle w:val="BodyText"/>
        <w:rPr>
          <w:b/>
        </w:rPr>
      </w:pPr>
    </w:p>
    <w:p w:rsidR="00831E5E" w:rsidRDefault="008A440C">
      <w:pPr>
        <w:pStyle w:val="BodyText"/>
        <w:ind w:left="302" w:right="490"/>
      </w:pPr>
      <w:r>
        <w:t xml:space="preserve">If water based paint is accidentally spilt clean it up as best you can with a cloth or a newspaper. Then wash down with water. By cleaning up as much of the spilt paint as you can before washing down you will </w:t>
      </w:r>
      <w:r>
        <w:lastRenderedPageBreak/>
        <w:t>save water and give yourself less work to do.</w:t>
      </w:r>
    </w:p>
    <w:p w:rsidR="00831E5E" w:rsidRDefault="00831E5E">
      <w:pPr>
        <w:pStyle w:val="BodyText"/>
        <w:rPr>
          <w:sz w:val="22"/>
        </w:rPr>
      </w:pPr>
    </w:p>
    <w:p w:rsidR="00924FCB" w:rsidRPr="00924FCB" w:rsidRDefault="00924FCB" w:rsidP="00924FCB">
      <w:pPr>
        <w:pStyle w:val="BodyText"/>
        <w:rPr>
          <w:i/>
        </w:rPr>
      </w:pPr>
      <w:r w:rsidRPr="00924FCB">
        <w:rPr>
          <w:i/>
        </w:rPr>
        <w:t>Nếu sơn nước dựa trên vô tình đổ</w:t>
      </w:r>
      <w:r>
        <w:rPr>
          <w:i/>
        </w:rPr>
        <w:t xml:space="preserve"> bạn sử dụng giấy thấm để làm sạch nó sau đó rửa sạch với nước sẽ tiết kiệm thời gian hơn.</w:t>
      </w:r>
    </w:p>
    <w:p w:rsidR="00831E5E" w:rsidRPr="00924FCB" w:rsidRDefault="00831E5E">
      <w:pPr>
        <w:pStyle w:val="BodyText"/>
        <w:spacing w:before="9"/>
        <w:rPr>
          <w:i/>
          <w:sz w:val="16"/>
        </w:rPr>
      </w:pPr>
    </w:p>
    <w:p w:rsidR="00831E5E" w:rsidRDefault="008A440C">
      <w:pPr>
        <w:pStyle w:val="Heading1"/>
        <w:ind w:left="302"/>
      </w:pPr>
      <w:r>
        <w:t>Moving from One Work Site to Another</w:t>
      </w:r>
    </w:p>
    <w:p w:rsidR="00831E5E" w:rsidRDefault="00831E5E">
      <w:pPr>
        <w:pStyle w:val="BodyText"/>
        <w:rPr>
          <w:b/>
        </w:rPr>
      </w:pPr>
    </w:p>
    <w:p w:rsidR="00831E5E" w:rsidRDefault="008A440C">
      <w:pPr>
        <w:pStyle w:val="BodyText"/>
        <w:ind w:left="302" w:right="502"/>
      </w:pPr>
      <w:r>
        <w:t>A plastic pail with a tight fitting lid is ideal for the short term storage and transport of brushes and roller sleeves. Fill this pail about half way with water so that brushes etc. are covered. This will save you having clean brushes and rollers whenever work is interrupted.</w:t>
      </w:r>
    </w:p>
    <w:p w:rsidR="00831E5E" w:rsidRDefault="00831E5E">
      <w:pPr>
        <w:pStyle w:val="BodyText"/>
      </w:pPr>
    </w:p>
    <w:p w:rsidR="00831E5E" w:rsidRPr="001221C0" w:rsidRDefault="008A440C">
      <w:pPr>
        <w:pStyle w:val="BodyText"/>
        <w:ind w:left="302" w:right="712"/>
        <w:rPr>
          <w:i/>
        </w:rPr>
      </w:pPr>
      <w:r>
        <w:t xml:space="preserve">Wrapping a paint brush in cling wrap will prevent the paint drying on the brush for at least an hour or so </w:t>
      </w:r>
      <w:r w:rsidRPr="001221C0">
        <w:rPr>
          <w:i/>
        </w:rPr>
        <w:t>while you take a lunch break</w:t>
      </w:r>
    </w:p>
    <w:p w:rsidR="00831E5E" w:rsidRDefault="00831E5E">
      <w:pPr>
        <w:pStyle w:val="BodyText"/>
        <w:rPr>
          <w:sz w:val="22"/>
        </w:rPr>
      </w:pPr>
    </w:p>
    <w:p w:rsidR="00831E5E" w:rsidRPr="001221C0" w:rsidRDefault="001221C0">
      <w:pPr>
        <w:pStyle w:val="BodyText"/>
        <w:spacing w:before="9"/>
        <w:rPr>
          <w:i/>
        </w:rPr>
      </w:pPr>
      <w:r>
        <w:rPr>
          <w:i/>
        </w:rPr>
        <w:t xml:space="preserve">   </w:t>
      </w:r>
      <w:r w:rsidRPr="001221C0">
        <w:rPr>
          <w:i/>
        </w:rPr>
        <w:t>Để bàn chải tay áo con lăn vào một cái thùng có nắp đậy để di chuyển. Đổ một nửa lượng nước vào thùng để bàn chải. Nó sẽ giúp bạn tiết kiệm thời gian vệ sinh bàn chải và con lăn không làm gián đoạn công việc.</w:t>
      </w:r>
    </w:p>
    <w:p w:rsidR="001221C0" w:rsidRPr="001221C0" w:rsidRDefault="001221C0">
      <w:pPr>
        <w:pStyle w:val="BodyText"/>
        <w:spacing w:before="9"/>
        <w:rPr>
          <w:i/>
        </w:rPr>
      </w:pPr>
      <w:r w:rsidRPr="001221C0">
        <w:rPr>
          <w:i/>
        </w:rPr>
        <w:t>Gói bàn chải sơn trong bọc bám để ngăn chặn sơn khô dính trên bàn chải ít nhất 1 giờ hoặc trong thời gian nghỉ trưa.</w:t>
      </w:r>
    </w:p>
    <w:p w:rsidR="00831E5E" w:rsidRPr="001221C0" w:rsidRDefault="008A440C">
      <w:pPr>
        <w:pStyle w:val="Heading1"/>
        <w:ind w:left="211"/>
        <w:rPr>
          <w:i/>
        </w:rPr>
      </w:pPr>
      <w:r w:rsidRPr="001221C0">
        <w:rPr>
          <w:i/>
        </w:rPr>
        <w:t>REFERENCE DOCUMENTS</w:t>
      </w:r>
    </w:p>
    <w:p w:rsidR="00831E5E" w:rsidRDefault="00DB0928">
      <w:pPr>
        <w:pStyle w:val="BodyText"/>
        <w:rPr>
          <w:b/>
          <w:sz w:val="21"/>
        </w:rPr>
      </w:pPr>
      <w:r>
        <w:pict>
          <v:group id="_x0000_s1026" style="position:absolute;margin-left:62.65pt;margin-top:14.05pt;width:495.75pt;height:99.75pt;z-index:251657728;mso-wrap-distance-left:0;mso-wrap-distance-right:0;mso-position-horizontal-relative:page" coordorigin="1253,281" coordsize="9915,1995">
            <v:rect id="_x0000_s1032" style="position:absolute;left:1260;top:288;width:9900;height:449" fillcolor="black" stroked="f"/>
            <v:rect id="_x0000_s1031" style="position:absolute;left:1260;top:288;width:9900;height:528" filled="f"/>
            <v:rect id="_x0000_s1030" style="position:absolute;left:1260;top:736;width:9900;height:1532" stroked="f"/>
            <v:rect id="_x0000_s1029" style="position:absolute;left:1260;top:736;width:9900;height:1532" filled="f"/>
            <v:shape id="_x0000_s1028" type="#_x0000_t202" style="position:absolute;left:1413;top:371;width:2565;height:223" filled="f" stroked="f">
              <v:textbox inset="0,0,0,0">
                <w:txbxContent>
                  <w:p w:rsidR="00831E5E" w:rsidRDefault="008A440C">
                    <w:pPr>
                      <w:spacing w:line="223" w:lineRule="exact"/>
                      <w:rPr>
                        <w:sz w:val="20"/>
                      </w:rPr>
                    </w:pPr>
                    <w:r>
                      <w:rPr>
                        <w:color w:val="FFFFFF"/>
                        <w:sz w:val="20"/>
                      </w:rPr>
                      <w:t>POLICY AND PROCEDURE</w:t>
                    </w:r>
                  </w:p>
                </w:txbxContent>
              </v:textbox>
            </v:shape>
            <v:shape id="_x0000_s1027" type="#_x0000_t202" style="position:absolute;left:5733;top:371;width:2332;height:223" filled="f" stroked="f">
              <v:textbox inset="0,0,0,0">
                <w:txbxContent>
                  <w:p w:rsidR="00831E5E" w:rsidRDefault="008A440C">
                    <w:pPr>
                      <w:spacing w:line="223" w:lineRule="exact"/>
                      <w:rPr>
                        <w:sz w:val="20"/>
                      </w:rPr>
                    </w:pPr>
                    <w:r>
                      <w:rPr>
                        <w:color w:val="FFFFFF"/>
                        <w:sz w:val="20"/>
                      </w:rPr>
                      <w:t>SUPPORT DOCUMENTS</w:t>
                    </w:r>
                  </w:p>
                </w:txbxContent>
              </v:textbox>
            </v:shape>
            <w10:wrap type="topAndBottom" anchorx="page"/>
          </v:group>
        </w:pict>
      </w:r>
    </w:p>
    <w:sectPr w:rsidR="00831E5E">
      <w:headerReference w:type="default" r:id="rId8"/>
      <w:footerReference w:type="default" r:id="rId9"/>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0928" w:rsidRDefault="00DB0928">
      <w:r>
        <w:separator/>
      </w:r>
    </w:p>
  </w:endnote>
  <w:endnote w:type="continuationSeparator" w:id="0">
    <w:p w:rsidR="00DB0928" w:rsidRDefault="00DB09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1E5E" w:rsidRDefault="00DB0928">
    <w:pPr>
      <w:pStyle w:val="BodyText"/>
      <w:spacing w:line="14" w:lineRule="auto"/>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7728;mso-position-horizontal-relative:page;mso-position-vertical-relative:page" filled="f" stroked="f">
          <v:textbox style="mso-next-textbox:#_x0000_s2049" inset="0,0,0,0">
            <w:txbxContent>
              <w:p w:rsidR="00831E5E" w:rsidRDefault="008A440C">
                <w:pPr>
                  <w:spacing w:before="12"/>
                  <w:ind w:left="20"/>
                  <w:rPr>
                    <w:b/>
                    <w:sz w:val="20"/>
                  </w:rPr>
                </w:pPr>
                <w:r>
                  <w:rPr>
                    <w:sz w:val="20"/>
                  </w:rPr>
                  <w:t xml:space="preserve">Page </w:t>
                </w:r>
                <w:r>
                  <w:fldChar w:fldCharType="begin"/>
                </w:r>
                <w:r>
                  <w:rPr>
                    <w:b/>
                    <w:sz w:val="20"/>
                  </w:rPr>
                  <w:instrText xml:space="preserve"> PAGE </w:instrText>
                </w:r>
                <w:r>
                  <w:fldChar w:fldCharType="separate"/>
                </w:r>
                <w:r w:rsidR="009F007D">
                  <w:rPr>
                    <w:b/>
                    <w:noProof/>
                    <w:sz w:val="20"/>
                  </w:rPr>
                  <w:t>2</w:t>
                </w:r>
                <w:r>
                  <w:fldChar w:fldCharType="end"/>
                </w:r>
                <w:r>
                  <w:rPr>
                    <w:b/>
                    <w:sz w:val="20"/>
                  </w:rPr>
                  <w:t xml:space="preserve"> </w:t>
                </w:r>
                <w:r>
                  <w:rPr>
                    <w:sz w:val="20"/>
                  </w:rPr>
                  <w:t xml:space="preserve">of </w:t>
                </w:r>
                <w:r>
                  <w:rPr>
                    <w:b/>
                    <w:sz w:val="20"/>
                  </w:rPr>
                  <w:t>3</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0928" w:rsidRDefault="00DB0928">
      <w:r>
        <w:separator/>
      </w:r>
    </w:p>
  </w:footnote>
  <w:footnote w:type="continuationSeparator" w:id="0">
    <w:p w:rsidR="00DB0928" w:rsidRDefault="00DB09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2B2F" w:rsidRDefault="00AF2B2F" w:rsidP="00AF2B2F">
    <w:pPr>
      <w:pStyle w:val="Header"/>
      <w:tabs>
        <w:tab w:val="clear" w:pos="4680"/>
        <w:tab w:val="clear" w:pos="9360"/>
        <w:tab w:val="right" w:pos="2819"/>
      </w:tabs>
    </w:pPr>
    <w:r w:rsidRPr="00EB0CD8">
      <w:rPr>
        <w:noProof/>
        <w:lang w:val="vi-VN" w:eastAsia="vi-VN"/>
      </w:rPr>
      <w:drawing>
        <wp:anchor distT="0" distB="0" distL="114300" distR="114300" simplePos="0" relativeHeight="251656704" behindDoc="1" locked="0" layoutInCell="1" allowOverlap="1" wp14:anchorId="3A627B0D" wp14:editId="6F177411">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vi-VN" w:eastAsia="vi-VN"/>
      </w:rPr>
      <w:drawing>
        <wp:anchor distT="0" distB="0" distL="114300" distR="114300" simplePos="0" relativeHeight="251657728" behindDoc="0" locked="0" layoutInCell="1" allowOverlap="1" wp14:anchorId="71CCA1EA" wp14:editId="526C8405">
          <wp:simplePos x="0" y="0"/>
          <wp:positionH relativeFrom="column">
            <wp:posOffset>4990340</wp:posOffset>
          </wp:positionH>
          <wp:positionV relativeFrom="paragraph">
            <wp:posOffset>-457835</wp:posOffset>
          </wp:positionV>
          <wp:extent cx="1367317" cy="904875"/>
          <wp:effectExtent l="0" t="0" r="0" b="0"/>
          <wp:wrapNone/>
          <wp:docPr id="8" name="Picture 8"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831E5E" w:rsidRPr="00AF2B2F" w:rsidRDefault="00831E5E" w:rsidP="00AF2B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B45F6E"/>
    <w:multiLevelType w:val="hybridMultilevel"/>
    <w:tmpl w:val="7F28B4C8"/>
    <w:lvl w:ilvl="0" w:tplc="CBF061FE">
      <w:start w:val="1"/>
      <w:numFmt w:val="decimal"/>
      <w:lvlText w:val="%1."/>
      <w:lvlJc w:val="left"/>
      <w:pPr>
        <w:ind w:left="462" w:hanging="360"/>
        <w:jc w:val="left"/>
      </w:pPr>
      <w:rPr>
        <w:rFonts w:ascii="Arial" w:eastAsia="Arial" w:hAnsi="Arial" w:cs="Arial" w:hint="default"/>
        <w:spacing w:val="-1"/>
        <w:w w:val="99"/>
        <w:sz w:val="20"/>
        <w:szCs w:val="20"/>
      </w:rPr>
    </w:lvl>
    <w:lvl w:ilvl="1" w:tplc="E596591E">
      <w:numFmt w:val="bullet"/>
      <w:lvlText w:val="•"/>
      <w:lvlJc w:val="left"/>
      <w:pPr>
        <w:ind w:left="1372" w:hanging="360"/>
      </w:pPr>
      <w:rPr>
        <w:rFonts w:hint="default"/>
      </w:rPr>
    </w:lvl>
    <w:lvl w:ilvl="2" w:tplc="5B786934">
      <w:numFmt w:val="bullet"/>
      <w:lvlText w:val="•"/>
      <w:lvlJc w:val="left"/>
      <w:pPr>
        <w:ind w:left="2284" w:hanging="360"/>
      </w:pPr>
      <w:rPr>
        <w:rFonts w:hint="default"/>
      </w:rPr>
    </w:lvl>
    <w:lvl w:ilvl="3" w:tplc="879AA23E">
      <w:numFmt w:val="bullet"/>
      <w:lvlText w:val="•"/>
      <w:lvlJc w:val="left"/>
      <w:pPr>
        <w:ind w:left="3196" w:hanging="360"/>
      </w:pPr>
      <w:rPr>
        <w:rFonts w:hint="default"/>
      </w:rPr>
    </w:lvl>
    <w:lvl w:ilvl="4" w:tplc="BDA4E1F6">
      <w:numFmt w:val="bullet"/>
      <w:lvlText w:val="•"/>
      <w:lvlJc w:val="left"/>
      <w:pPr>
        <w:ind w:left="4108" w:hanging="360"/>
      </w:pPr>
      <w:rPr>
        <w:rFonts w:hint="default"/>
      </w:rPr>
    </w:lvl>
    <w:lvl w:ilvl="5" w:tplc="4AD09C86">
      <w:numFmt w:val="bullet"/>
      <w:lvlText w:val="•"/>
      <w:lvlJc w:val="left"/>
      <w:pPr>
        <w:ind w:left="5020" w:hanging="360"/>
      </w:pPr>
      <w:rPr>
        <w:rFonts w:hint="default"/>
      </w:rPr>
    </w:lvl>
    <w:lvl w:ilvl="6" w:tplc="459CC410">
      <w:numFmt w:val="bullet"/>
      <w:lvlText w:val="•"/>
      <w:lvlJc w:val="left"/>
      <w:pPr>
        <w:ind w:left="5932" w:hanging="360"/>
      </w:pPr>
      <w:rPr>
        <w:rFonts w:hint="default"/>
      </w:rPr>
    </w:lvl>
    <w:lvl w:ilvl="7" w:tplc="34502C48">
      <w:numFmt w:val="bullet"/>
      <w:lvlText w:val="•"/>
      <w:lvlJc w:val="left"/>
      <w:pPr>
        <w:ind w:left="6844" w:hanging="360"/>
      </w:pPr>
      <w:rPr>
        <w:rFonts w:hint="default"/>
      </w:rPr>
    </w:lvl>
    <w:lvl w:ilvl="8" w:tplc="35902E94">
      <w:numFmt w:val="bullet"/>
      <w:lvlText w:val="•"/>
      <w:lvlJc w:val="left"/>
      <w:pPr>
        <w:ind w:left="7756" w:hanging="360"/>
      </w:pPr>
      <w:rPr>
        <w:rFonts w:hint="default"/>
      </w:rPr>
    </w:lvl>
  </w:abstractNum>
  <w:abstractNum w:abstractNumId="1" w15:restartNumberingAfterBreak="0">
    <w:nsid w:val="44D67628"/>
    <w:multiLevelType w:val="hybridMultilevel"/>
    <w:tmpl w:val="4C7A4442"/>
    <w:lvl w:ilvl="0" w:tplc="F524EB20">
      <w:start w:val="1"/>
      <w:numFmt w:val="decimal"/>
      <w:lvlText w:val="%1."/>
      <w:lvlJc w:val="left"/>
      <w:pPr>
        <w:ind w:left="462" w:hanging="360"/>
        <w:jc w:val="left"/>
      </w:pPr>
      <w:rPr>
        <w:rFonts w:ascii="Arial" w:eastAsia="Arial" w:hAnsi="Arial" w:cs="Arial" w:hint="default"/>
        <w:spacing w:val="-1"/>
        <w:w w:val="99"/>
        <w:sz w:val="20"/>
        <w:szCs w:val="20"/>
      </w:rPr>
    </w:lvl>
    <w:lvl w:ilvl="1" w:tplc="D2AA75EE">
      <w:numFmt w:val="bullet"/>
      <w:lvlText w:val="•"/>
      <w:lvlJc w:val="left"/>
      <w:pPr>
        <w:ind w:left="1372" w:hanging="360"/>
      </w:pPr>
      <w:rPr>
        <w:rFonts w:hint="default"/>
      </w:rPr>
    </w:lvl>
    <w:lvl w:ilvl="2" w:tplc="BA4685A2">
      <w:numFmt w:val="bullet"/>
      <w:lvlText w:val="•"/>
      <w:lvlJc w:val="left"/>
      <w:pPr>
        <w:ind w:left="2284" w:hanging="360"/>
      </w:pPr>
      <w:rPr>
        <w:rFonts w:hint="default"/>
      </w:rPr>
    </w:lvl>
    <w:lvl w:ilvl="3" w:tplc="109EF286">
      <w:numFmt w:val="bullet"/>
      <w:lvlText w:val="•"/>
      <w:lvlJc w:val="left"/>
      <w:pPr>
        <w:ind w:left="3196" w:hanging="360"/>
      </w:pPr>
      <w:rPr>
        <w:rFonts w:hint="default"/>
      </w:rPr>
    </w:lvl>
    <w:lvl w:ilvl="4" w:tplc="A05679B6">
      <w:numFmt w:val="bullet"/>
      <w:lvlText w:val="•"/>
      <w:lvlJc w:val="left"/>
      <w:pPr>
        <w:ind w:left="4108" w:hanging="360"/>
      </w:pPr>
      <w:rPr>
        <w:rFonts w:hint="default"/>
      </w:rPr>
    </w:lvl>
    <w:lvl w:ilvl="5" w:tplc="D20EE2C0">
      <w:numFmt w:val="bullet"/>
      <w:lvlText w:val="•"/>
      <w:lvlJc w:val="left"/>
      <w:pPr>
        <w:ind w:left="5020" w:hanging="360"/>
      </w:pPr>
      <w:rPr>
        <w:rFonts w:hint="default"/>
      </w:rPr>
    </w:lvl>
    <w:lvl w:ilvl="6" w:tplc="A5622FDA">
      <w:numFmt w:val="bullet"/>
      <w:lvlText w:val="•"/>
      <w:lvlJc w:val="left"/>
      <w:pPr>
        <w:ind w:left="5932" w:hanging="360"/>
      </w:pPr>
      <w:rPr>
        <w:rFonts w:hint="default"/>
      </w:rPr>
    </w:lvl>
    <w:lvl w:ilvl="7" w:tplc="40BCF3C4">
      <w:numFmt w:val="bullet"/>
      <w:lvlText w:val="•"/>
      <w:lvlJc w:val="left"/>
      <w:pPr>
        <w:ind w:left="6844" w:hanging="360"/>
      </w:pPr>
      <w:rPr>
        <w:rFonts w:hint="default"/>
      </w:rPr>
    </w:lvl>
    <w:lvl w:ilvl="8" w:tplc="6408E89A">
      <w:numFmt w:val="bullet"/>
      <w:lvlText w:val="•"/>
      <w:lvlJc w:val="left"/>
      <w:pPr>
        <w:ind w:left="7756" w:hanging="36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831E5E"/>
    <w:rsid w:val="001221C0"/>
    <w:rsid w:val="00180A72"/>
    <w:rsid w:val="00247678"/>
    <w:rsid w:val="002A2E27"/>
    <w:rsid w:val="002C0A41"/>
    <w:rsid w:val="00446B45"/>
    <w:rsid w:val="004621BE"/>
    <w:rsid w:val="0050177E"/>
    <w:rsid w:val="00531318"/>
    <w:rsid w:val="00552C88"/>
    <w:rsid w:val="005640F7"/>
    <w:rsid w:val="00586005"/>
    <w:rsid w:val="00641552"/>
    <w:rsid w:val="0068148C"/>
    <w:rsid w:val="00681CE7"/>
    <w:rsid w:val="00786A63"/>
    <w:rsid w:val="00831E5E"/>
    <w:rsid w:val="00884725"/>
    <w:rsid w:val="008A440C"/>
    <w:rsid w:val="008B74AF"/>
    <w:rsid w:val="00924FCB"/>
    <w:rsid w:val="009F007D"/>
    <w:rsid w:val="00AE2EA5"/>
    <w:rsid w:val="00AE62C5"/>
    <w:rsid w:val="00AF0375"/>
    <w:rsid w:val="00AF2B2F"/>
    <w:rsid w:val="00B24BA4"/>
    <w:rsid w:val="00B87AB6"/>
    <w:rsid w:val="00BF1069"/>
    <w:rsid w:val="00C067AB"/>
    <w:rsid w:val="00D45947"/>
    <w:rsid w:val="00DA547A"/>
    <w:rsid w:val="00DB0928"/>
    <w:rsid w:val="00DB2D71"/>
    <w:rsid w:val="00DD6993"/>
    <w:rsid w:val="00E7664D"/>
    <w:rsid w:val="00F832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B30070D"/>
  <w15:docId w15:val="{31FE80BE-E3A0-49C3-AA38-74FFE9652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462" w:hanging="360"/>
    </w:pPr>
  </w:style>
  <w:style w:type="paragraph" w:customStyle="1" w:styleId="TableParagraph">
    <w:name w:val="Table Paragraph"/>
    <w:basedOn w:val="Normal"/>
    <w:uiPriority w:val="1"/>
    <w:qFormat/>
    <w:pPr>
      <w:ind w:left="107"/>
    </w:pPr>
  </w:style>
  <w:style w:type="paragraph" w:styleId="Header">
    <w:name w:val="header"/>
    <w:basedOn w:val="Normal"/>
    <w:link w:val="HeaderChar"/>
    <w:uiPriority w:val="99"/>
    <w:unhideWhenUsed/>
    <w:rsid w:val="00AF2B2F"/>
    <w:pPr>
      <w:tabs>
        <w:tab w:val="center" w:pos="4680"/>
        <w:tab w:val="right" w:pos="9360"/>
      </w:tabs>
    </w:pPr>
  </w:style>
  <w:style w:type="character" w:customStyle="1" w:styleId="HeaderChar">
    <w:name w:val="Header Char"/>
    <w:basedOn w:val="DefaultParagraphFont"/>
    <w:link w:val="Header"/>
    <w:uiPriority w:val="99"/>
    <w:rsid w:val="00AF2B2F"/>
    <w:rPr>
      <w:rFonts w:ascii="Arial" w:eastAsia="Arial" w:hAnsi="Arial" w:cs="Arial"/>
    </w:rPr>
  </w:style>
  <w:style w:type="paragraph" w:styleId="Footer">
    <w:name w:val="footer"/>
    <w:basedOn w:val="Normal"/>
    <w:link w:val="FooterChar"/>
    <w:uiPriority w:val="99"/>
    <w:unhideWhenUsed/>
    <w:rsid w:val="00AF2B2F"/>
    <w:pPr>
      <w:tabs>
        <w:tab w:val="center" w:pos="4680"/>
        <w:tab w:val="right" w:pos="9360"/>
      </w:tabs>
    </w:pPr>
  </w:style>
  <w:style w:type="character" w:customStyle="1" w:styleId="FooterChar">
    <w:name w:val="Footer Char"/>
    <w:basedOn w:val="DefaultParagraphFont"/>
    <w:link w:val="Footer"/>
    <w:uiPriority w:val="99"/>
    <w:rsid w:val="00AF2B2F"/>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1D1815-745E-4A60-A2C5-9DDD188F79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4</Pages>
  <Words>1394</Words>
  <Characters>7952</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GCF006 - Painting</vt:lpstr>
    </vt:vector>
  </TitlesOfParts>
  <Company/>
  <LinksUpToDate>false</LinksUpToDate>
  <CharactersWithSpaces>9328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GCF006 - Painting</dc:title>
  <dc:creator>Mboon</dc:creator>
  <cp:keywords>()</cp:keywords>
  <cp:lastModifiedBy>MGALLERY Sapa TE2</cp:lastModifiedBy>
  <cp:revision>36</cp:revision>
  <dcterms:created xsi:type="dcterms:W3CDTF">2018-03-05T14:19:00Z</dcterms:created>
  <dcterms:modified xsi:type="dcterms:W3CDTF">2020-05-02T03:16:00Z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